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before="0" w:after="0"/>
        <w:ind w:left="210" w:right="210"/>
        <w:rPr>
          <w:rFonts w:hint="default" w:ascii="Calibri" w:hAnsi="Calibri" w:eastAsia="黑体"/>
          <w:b w:val="0"/>
          <w:bCs/>
          <w:color w:val="auto"/>
          <w:sz w:val="44"/>
          <w:szCs w:val="44"/>
          <w:highlight w:val="none"/>
        </w:rPr>
      </w:pPr>
      <w:r>
        <w:rPr>
          <w:rFonts w:hint="default" w:ascii="Calibri" w:hAnsi="Calibri" w:eastAsia="黑体"/>
          <w:b w:val="0"/>
          <w:bCs/>
          <w:color w:val="auto"/>
          <w:sz w:val="44"/>
          <w:szCs w:val="44"/>
          <w:highlight w:val="none"/>
        </w:rPr>
        <w:t>采购人需求</w:t>
      </w:r>
      <w:r>
        <w:rPr>
          <w:rFonts w:hint="default" w:ascii="Calibri" w:hAnsi="Calibri" w:eastAsia="黑体"/>
          <w:b w:val="0"/>
          <w:bCs/>
          <w:color w:val="auto"/>
          <w:sz w:val="44"/>
          <w:szCs w:val="44"/>
          <w:highlight w:val="none"/>
        </w:rPr>
        <w:tab/>
      </w:r>
    </w:p>
    <w:p>
      <w:pPr>
        <w:numPr>
          <w:ilvl w:val="0"/>
          <w:numId w:val="1"/>
        </w:numPr>
        <w:shd w:val="clear"/>
        <w:spacing w:line="341" w:lineRule="auto"/>
        <w:rPr>
          <w:b/>
          <w:color w:val="000000"/>
          <w:sz w:val="24"/>
          <w:highlight w:val="none"/>
        </w:rPr>
      </w:pPr>
      <w:bookmarkStart w:id="0" w:name="_Toc351466512"/>
      <w:bookmarkStart w:id="1" w:name="_Toc65593627"/>
      <w:r>
        <w:rPr>
          <w:b/>
          <w:color w:val="000000"/>
          <w:sz w:val="24"/>
          <w:highlight w:val="none"/>
        </w:rPr>
        <w:t>采购原因</w:t>
      </w:r>
    </w:p>
    <w:p>
      <w:pPr>
        <w:pStyle w:val="9"/>
        <w:shd w:val="clear"/>
        <w:spacing w:line="360" w:lineRule="auto"/>
        <w:rPr>
          <w:color w:val="000000"/>
          <w:sz w:val="24"/>
          <w:highlight w:val="none"/>
        </w:rPr>
      </w:pPr>
      <w:r>
        <w:rPr>
          <w:rFonts w:hint="eastAsia" w:ascii="宋体" w:hAnsi="宋体" w:cs="宋体"/>
          <w:sz w:val="24"/>
          <w:highlight w:val="none"/>
        </w:rPr>
        <w:t>为确保食品安全，加大源头采购，减少中间流通环节，降低大宗商品采购价格。根据国家招标采购相关要求，哈尔滨工业大学将对饮食原材料采购进行公开招标。</w:t>
      </w:r>
    </w:p>
    <w:p>
      <w:pPr>
        <w:shd w:val="clear"/>
        <w:tabs>
          <w:tab w:val="left" w:pos="900"/>
        </w:tabs>
        <w:spacing w:before="156" w:beforeLines="50" w:line="360" w:lineRule="auto"/>
        <w:rPr>
          <w:b/>
          <w:sz w:val="24"/>
          <w:highlight w:val="none"/>
        </w:rPr>
      </w:pPr>
      <w:r>
        <w:rPr>
          <w:rFonts w:hint="eastAsia" w:hAnsi="宋体"/>
          <w:b/>
          <w:sz w:val="24"/>
          <w:highlight w:val="none"/>
        </w:rPr>
        <w:t>二、</w:t>
      </w:r>
      <w:r>
        <w:rPr>
          <w:rFonts w:hAnsi="宋体"/>
          <w:b/>
          <w:sz w:val="24"/>
          <w:highlight w:val="none"/>
        </w:rPr>
        <w:t>为落实政府采购政策需满足的要求</w:t>
      </w:r>
    </w:p>
    <w:p>
      <w:pPr>
        <w:shd w:val="clear"/>
        <w:spacing w:line="341" w:lineRule="auto"/>
        <w:ind w:firstLine="480" w:firstLineChars="200"/>
        <w:rPr>
          <w:color w:val="000000"/>
          <w:sz w:val="24"/>
          <w:highlight w:val="none"/>
        </w:rPr>
      </w:pPr>
      <w:r>
        <w:rPr>
          <w:color w:val="000000"/>
          <w:sz w:val="24"/>
          <w:highlight w:val="none"/>
        </w:rPr>
        <w:t>根据《政府采购促进中小企业发展管理办法》</w:t>
      </w:r>
      <w:r>
        <w:rPr>
          <w:rFonts w:hint="eastAsia"/>
          <w:color w:val="000000"/>
          <w:sz w:val="24"/>
          <w:highlight w:val="none"/>
        </w:rPr>
        <w:t>（财库【2</w:t>
      </w:r>
      <w:r>
        <w:rPr>
          <w:color w:val="000000"/>
          <w:sz w:val="24"/>
          <w:highlight w:val="none"/>
        </w:rPr>
        <w:t>020</w:t>
      </w:r>
      <w:r>
        <w:rPr>
          <w:rFonts w:hint="eastAsia"/>
          <w:color w:val="000000"/>
          <w:sz w:val="24"/>
          <w:highlight w:val="none"/>
        </w:rPr>
        <w:t>】4</w:t>
      </w:r>
      <w:r>
        <w:rPr>
          <w:color w:val="000000"/>
          <w:sz w:val="24"/>
          <w:highlight w:val="none"/>
        </w:rPr>
        <w:t>6</w:t>
      </w:r>
      <w:r>
        <w:rPr>
          <w:rFonts w:hint="eastAsia"/>
          <w:color w:val="000000"/>
          <w:sz w:val="24"/>
          <w:highlight w:val="none"/>
        </w:rPr>
        <w:t>号）</w:t>
      </w:r>
      <w:r>
        <w:rPr>
          <w:color w:val="000000"/>
          <w:sz w:val="24"/>
          <w:highlight w:val="none"/>
        </w:rPr>
        <w:t>规定，本项目</w:t>
      </w:r>
      <w:r>
        <w:rPr>
          <w:rFonts w:hint="eastAsia"/>
          <w:color w:val="000000"/>
          <w:sz w:val="24"/>
          <w:highlight w:val="none"/>
        </w:rPr>
        <w:t>采购标的</w:t>
      </w:r>
      <w:r>
        <w:rPr>
          <w:color w:val="000000"/>
          <w:sz w:val="24"/>
          <w:highlight w:val="none"/>
        </w:rPr>
        <w:t>为</w:t>
      </w:r>
      <w:r>
        <w:rPr>
          <w:rFonts w:hint="eastAsia"/>
          <w:color w:val="000000"/>
          <w:sz w:val="24"/>
          <w:highlight w:val="none"/>
        </w:rPr>
        <w:t>中小</w:t>
      </w:r>
      <w:r>
        <w:rPr>
          <w:color w:val="000000"/>
          <w:sz w:val="24"/>
          <w:highlight w:val="none"/>
        </w:rPr>
        <w:t>型企业</w:t>
      </w:r>
      <w:r>
        <w:rPr>
          <w:rFonts w:hint="eastAsia"/>
          <w:color w:val="000000"/>
          <w:sz w:val="24"/>
          <w:highlight w:val="none"/>
        </w:rPr>
        <w:t>制造、承建或承接</w:t>
      </w:r>
      <w:r>
        <w:rPr>
          <w:color w:val="000000"/>
          <w:sz w:val="24"/>
          <w:highlight w:val="none"/>
        </w:rPr>
        <w:t>的，投标人应</w:t>
      </w:r>
      <w:r>
        <w:rPr>
          <w:rFonts w:hint="eastAsia"/>
          <w:color w:val="000000"/>
          <w:sz w:val="24"/>
          <w:highlight w:val="none"/>
        </w:rPr>
        <w:t>提供办法规定的</w:t>
      </w:r>
      <w:r>
        <w:rPr>
          <w:color w:val="000000"/>
          <w:sz w:val="24"/>
          <w:highlight w:val="none"/>
        </w:rPr>
        <w:t>《中小企业声明函》</w:t>
      </w:r>
      <w:r>
        <w:rPr>
          <w:rFonts w:hint="eastAsia"/>
          <w:color w:val="000000"/>
          <w:sz w:val="24"/>
          <w:highlight w:val="none"/>
        </w:rPr>
        <w:t>，否则不得享受相关中小企业扶持政策</w:t>
      </w:r>
      <w:r>
        <w:rPr>
          <w:color w:val="000000"/>
          <w:sz w:val="24"/>
          <w:highlight w:val="none"/>
        </w:rPr>
        <w:t>。投标人应对提交的中小企业声明函的真实性负责，提交的中小企业声明函不真实的，应承担相应的法律责任。</w:t>
      </w:r>
    </w:p>
    <w:p>
      <w:pPr>
        <w:shd w:val="clear"/>
        <w:tabs>
          <w:tab w:val="left" w:pos="900"/>
        </w:tabs>
        <w:spacing w:line="360" w:lineRule="auto"/>
        <w:ind w:left="420"/>
        <w:rPr>
          <w:rFonts w:hAnsi="宋体"/>
          <w:sz w:val="24"/>
          <w:highlight w:val="none"/>
        </w:rPr>
      </w:pPr>
      <w:r>
        <w:rPr>
          <w:rFonts w:hint="eastAsia" w:hAnsi="宋体"/>
          <w:sz w:val="24"/>
          <w:highlight w:val="none"/>
        </w:rPr>
        <w:t>本项目采购标的对应的《中小企业划型标准规定》所属行业为：</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批发业</w:t>
      </w:r>
      <w:r>
        <w:rPr>
          <w:rFonts w:hAnsi="宋体"/>
          <w:sz w:val="24"/>
          <w:highlight w:val="none"/>
          <w:u w:val="single"/>
        </w:rPr>
        <w:t xml:space="preserve">   </w:t>
      </w:r>
      <w:r>
        <w:rPr>
          <w:rFonts w:hint="eastAsia" w:hAnsi="宋体"/>
          <w:sz w:val="24"/>
          <w:highlight w:val="none"/>
        </w:rPr>
        <w:t>。</w:t>
      </w:r>
    </w:p>
    <w:p>
      <w:pPr>
        <w:shd w:val="clear"/>
        <w:tabs>
          <w:tab w:val="left" w:pos="900"/>
        </w:tabs>
        <w:spacing w:before="156" w:beforeLines="50" w:line="360" w:lineRule="auto"/>
        <w:rPr>
          <w:rFonts w:hAnsi="宋体"/>
          <w:b/>
          <w:sz w:val="24"/>
          <w:highlight w:val="none"/>
        </w:rPr>
      </w:pPr>
      <w:r>
        <w:rPr>
          <w:rFonts w:hint="eastAsia" w:hAnsi="宋体"/>
          <w:b/>
          <w:sz w:val="24"/>
          <w:highlight w:val="none"/>
        </w:rPr>
        <w:t>三、</w:t>
      </w:r>
      <w:r>
        <w:rPr>
          <w:rFonts w:hAnsi="宋体"/>
          <w:b/>
          <w:sz w:val="24"/>
          <w:highlight w:val="none"/>
        </w:rPr>
        <w:t>采购</w:t>
      </w:r>
      <w:r>
        <w:rPr>
          <w:rFonts w:hint="eastAsia" w:hAnsi="宋体"/>
          <w:b/>
          <w:sz w:val="24"/>
          <w:highlight w:val="none"/>
        </w:rPr>
        <w:t>标的</w:t>
      </w:r>
      <w:r>
        <w:rPr>
          <w:rFonts w:hAnsi="宋体"/>
          <w:b/>
          <w:sz w:val="24"/>
          <w:highlight w:val="none"/>
        </w:rPr>
        <w:t>需执行的国家相关标准、行业标准、地方标准或者其他标准、规范：</w:t>
      </w:r>
    </w:p>
    <w:p>
      <w:pPr>
        <w:shd w:val="clear"/>
        <w:tabs>
          <w:tab w:val="left" w:pos="900"/>
        </w:tabs>
        <w:spacing w:before="156" w:beforeLines="50" w:line="360" w:lineRule="auto"/>
        <w:ind w:firstLine="480" w:firstLineChars="200"/>
        <w:rPr>
          <w:sz w:val="24"/>
          <w:highlight w:val="none"/>
        </w:rPr>
      </w:pPr>
      <w:r>
        <w:rPr>
          <w:rFonts w:hint="eastAsia"/>
          <w:sz w:val="24"/>
          <w:highlight w:val="none"/>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pStyle w:val="2"/>
        <w:shd w:val="clear"/>
        <w:rPr>
          <w:highlight w:val="none"/>
        </w:rPr>
      </w:pPr>
    </w:p>
    <w:p>
      <w:pPr>
        <w:shd w:val="clear"/>
        <w:spacing w:line="341" w:lineRule="auto"/>
        <w:rPr>
          <w:b/>
          <w:color w:val="000000"/>
          <w:sz w:val="24"/>
          <w:highlight w:val="none"/>
        </w:rPr>
      </w:pPr>
      <w:r>
        <w:rPr>
          <w:rFonts w:hint="eastAsia"/>
          <w:b/>
          <w:color w:val="000000"/>
          <w:sz w:val="24"/>
          <w:highlight w:val="none"/>
        </w:rPr>
        <w:t>四、</w:t>
      </w:r>
      <w:r>
        <w:rPr>
          <w:b/>
          <w:color w:val="000000"/>
          <w:sz w:val="24"/>
          <w:highlight w:val="none"/>
        </w:rPr>
        <w:t>采购数量</w:t>
      </w:r>
      <w:r>
        <w:rPr>
          <w:rFonts w:hint="eastAsia"/>
          <w:b/>
          <w:color w:val="000000"/>
          <w:sz w:val="24"/>
          <w:highlight w:val="none"/>
        </w:rPr>
        <w:t>及预算</w:t>
      </w:r>
    </w:p>
    <w:p>
      <w:pPr>
        <w:shd w:val="clear"/>
        <w:spacing w:line="341" w:lineRule="auto"/>
        <w:ind w:firstLine="480" w:firstLineChars="200"/>
        <w:rPr>
          <w:rFonts w:hint="eastAsia"/>
          <w:sz w:val="24"/>
          <w:highlight w:val="none"/>
        </w:rPr>
      </w:pPr>
      <w:r>
        <w:rPr>
          <w:rFonts w:hint="eastAsia" w:ascii="宋体" w:hAnsi="宋体" w:cs="宋体"/>
          <w:sz w:val="24"/>
          <w:highlight w:val="none"/>
        </w:rPr>
        <w:t>项目五：冷冻丸子，</w:t>
      </w:r>
      <w:r>
        <w:rPr>
          <w:rFonts w:hint="eastAsia" w:ascii="宋体" w:hAnsi="宋体" w:cs="宋体"/>
          <w:sz w:val="24"/>
          <w:highlight w:val="none"/>
          <w:lang w:eastAsia="zh-CN"/>
        </w:rPr>
        <w:t>第一标段、第二标段</w:t>
      </w:r>
      <w:r>
        <w:rPr>
          <w:rFonts w:hint="eastAsia" w:ascii="宋体" w:hAnsi="宋体" w:cs="宋体"/>
          <w:sz w:val="24"/>
          <w:highlight w:val="none"/>
        </w:rPr>
        <w:t>：用量</w:t>
      </w:r>
      <w:r>
        <w:rPr>
          <w:rFonts w:hint="eastAsia" w:ascii="宋体" w:hAnsi="宋体" w:cs="宋体"/>
          <w:sz w:val="24"/>
          <w:highlight w:val="none"/>
          <w:lang w:eastAsia="zh-CN"/>
        </w:rPr>
        <w:t>均</w:t>
      </w:r>
      <w:r>
        <w:rPr>
          <w:rFonts w:hint="eastAsia" w:ascii="宋体" w:hAnsi="宋体" w:cs="宋体"/>
          <w:sz w:val="24"/>
          <w:highlight w:val="none"/>
        </w:rPr>
        <w:t>约为4.5万公斤/年，预算金额约</w:t>
      </w:r>
      <w:r>
        <w:rPr>
          <w:rFonts w:hint="eastAsia" w:ascii="宋体" w:hAnsi="宋体" w:cs="宋体"/>
          <w:sz w:val="24"/>
          <w:highlight w:val="none"/>
          <w:lang w:val="en-US" w:eastAsia="zh-CN"/>
        </w:rPr>
        <w:t>53.24</w:t>
      </w:r>
      <w:r>
        <w:rPr>
          <w:rFonts w:hint="eastAsia" w:ascii="宋体" w:hAnsi="宋体" w:cs="宋体"/>
          <w:sz w:val="24"/>
          <w:highlight w:val="none"/>
        </w:rPr>
        <w:t>万元。</w:t>
      </w:r>
      <w:r>
        <w:rPr>
          <w:rFonts w:hint="eastAsia" w:ascii="微软雅黑" w:hAnsi="微软雅黑" w:eastAsia="微软雅黑" w:cs="微软雅黑"/>
          <w:color w:val="auto"/>
          <w:sz w:val="24"/>
          <w:highlight w:val="none"/>
          <w:lang w:val="en-US" w:eastAsia="zh-CN"/>
        </w:rPr>
        <w:t>本项目划分为二个标段，</w:t>
      </w:r>
      <w:r>
        <w:rPr>
          <w:rFonts w:hint="eastAsia" w:ascii="微软雅黑" w:hAnsi="微软雅黑" w:cs="微软雅黑"/>
          <w:color w:val="auto"/>
          <w:sz w:val="24"/>
          <w:highlight w:val="none"/>
          <w:lang w:val="en-US" w:eastAsia="zh-CN"/>
        </w:rPr>
        <w:t>各标段可以兼投不可以兼中</w:t>
      </w:r>
      <w:r>
        <w:rPr>
          <w:rFonts w:hint="eastAsia" w:ascii="微软雅黑" w:hAnsi="微软雅黑" w:eastAsia="微软雅黑" w:cs="微软雅黑"/>
          <w:color w:val="auto"/>
          <w:sz w:val="24"/>
          <w:highlight w:val="none"/>
          <w:lang w:val="en-US" w:eastAsia="zh-CN"/>
        </w:rPr>
        <w:t>，</w:t>
      </w:r>
      <w:r>
        <w:rPr>
          <w:rFonts w:hint="eastAsia"/>
          <w:sz w:val="24"/>
          <w:highlight w:val="none"/>
        </w:rPr>
        <w:t>本标段货品定价，按各标段开标顺序依次确定入围供应商，前面标</w:t>
      </w:r>
      <w:bookmarkStart w:id="5" w:name="_GoBack"/>
      <w:bookmarkEnd w:id="5"/>
      <w:r>
        <w:rPr>
          <w:rFonts w:hint="eastAsia"/>
          <w:sz w:val="24"/>
          <w:highlight w:val="none"/>
        </w:rPr>
        <w:t>段入围供应商不再具备后续标段入围资格，但仍需参加后续开标。</w:t>
      </w:r>
    </w:p>
    <w:p>
      <w:pPr>
        <w:widowControl/>
        <w:shd w:val="clear"/>
        <w:adjustRightInd w:val="0"/>
        <w:snapToGrid w:val="0"/>
        <w:spacing w:line="360" w:lineRule="auto"/>
        <w:jc w:val="left"/>
        <w:rPr>
          <w:b/>
          <w:color w:val="000000"/>
          <w:sz w:val="24"/>
          <w:highlight w:val="none"/>
        </w:rPr>
      </w:pPr>
      <w:r>
        <w:rPr>
          <w:rFonts w:hint="eastAsia"/>
          <w:b/>
          <w:color w:val="000000"/>
          <w:sz w:val="24"/>
          <w:highlight w:val="none"/>
        </w:rPr>
        <w:t>五、</w:t>
      </w:r>
      <w:r>
        <w:rPr>
          <w:b/>
          <w:color w:val="000000"/>
          <w:sz w:val="24"/>
          <w:highlight w:val="none"/>
        </w:rPr>
        <w:t>品类及技术要求：</w:t>
      </w:r>
    </w:p>
    <w:p>
      <w:pPr>
        <w:shd w:val="clear"/>
        <w:spacing w:line="400" w:lineRule="exact"/>
        <w:rPr>
          <w:rFonts w:ascii="宋体" w:hAnsi="宋体"/>
          <w:b/>
          <w:color w:val="000000"/>
          <w:sz w:val="24"/>
          <w:highlight w:val="none"/>
        </w:rPr>
      </w:pPr>
      <w:r>
        <w:rPr>
          <w:rFonts w:hint="eastAsia" w:ascii="宋体" w:hAnsi="宋体"/>
          <w:b/>
          <w:color w:val="000000"/>
          <w:sz w:val="24"/>
          <w:highlight w:val="none"/>
        </w:rPr>
        <w:t>冷冻丸子</w:t>
      </w:r>
    </w:p>
    <w:tbl>
      <w:tblPr>
        <w:tblStyle w:val="5"/>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701"/>
        <w:gridCol w:w="1559"/>
        <w:gridCol w:w="1418"/>
        <w:gridCol w:w="127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6" w:type="dxa"/>
            <w:vAlign w:val="center"/>
          </w:tcPr>
          <w:p>
            <w:pPr>
              <w:shd w:val="clear"/>
              <w:spacing w:line="560" w:lineRule="exact"/>
              <w:jc w:val="center"/>
              <w:rPr>
                <w:szCs w:val="21"/>
                <w:highlight w:val="none"/>
              </w:rPr>
            </w:pPr>
            <w:r>
              <w:rPr>
                <w:szCs w:val="21"/>
                <w:highlight w:val="none"/>
              </w:rPr>
              <w:t>序号</w:t>
            </w:r>
          </w:p>
        </w:tc>
        <w:tc>
          <w:tcPr>
            <w:tcW w:w="1701" w:type="dxa"/>
            <w:vAlign w:val="center"/>
          </w:tcPr>
          <w:p>
            <w:pPr>
              <w:shd w:val="clear"/>
              <w:spacing w:line="560" w:lineRule="exact"/>
              <w:jc w:val="center"/>
              <w:rPr>
                <w:szCs w:val="21"/>
                <w:highlight w:val="none"/>
              </w:rPr>
            </w:pPr>
            <w:r>
              <w:rPr>
                <w:szCs w:val="21"/>
                <w:highlight w:val="none"/>
              </w:rPr>
              <w:t>品名</w:t>
            </w:r>
          </w:p>
        </w:tc>
        <w:tc>
          <w:tcPr>
            <w:tcW w:w="1559" w:type="dxa"/>
            <w:vAlign w:val="center"/>
          </w:tcPr>
          <w:p>
            <w:pPr>
              <w:shd w:val="clear"/>
              <w:spacing w:line="560" w:lineRule="exact"/>
              <w:jc w:val="center"/>
              <w:rPr>
                <w:szCs w:val="21"/>
                <w:highlight w:val="none"/>
              </w:rPr>
            </w:pPr>
            <w:r>
              <w:rPr>
                <w:szCs w:val="21"/>
                <w:highlight w:val="none"/>
              </w:rPr>
              <w:t>标准</w:t>
            </w:r>
          </w:p>
        </w:tc>
        <w:tc>
          <w:tcPr>
            <w:tcW w:w="1418" w:type="dxa"/>
            <w:vAlign w:val="center"/>
          </w:tcPr>
          <w:p>
            <w:pPr>
              <w:shd w:val="clear"/>
              <w:spacing w:line="560" w:lineRule="exact"/>
              <w:jc w:val="center"/>
              <w:rPr>
                <w:szCs w:val="21"/>
                <w:highlight w:val="none"/>
              </w:rPr>
            </w:pPr>
            <w:r>
              <w:rPr>
                <w:szCs w:val="21"/>
                <w:highlight w:val="none"/>
              </w:rPr>
              <w:t>参考采购量</w:t>
            </w:r>
          </w:p>
          <w:p>
            <w:pPr>
              <w:shd w:val="clear"/>
              <w:spacing w:line="560" w:lineRule="exact"/>
              <w:jc w:val="center"/>
              <w:rPr>
                <w:szCs w:val="21"/>
                <w:highlight w:val="none"/>
              </w:rPr>
            </w:pPr>
            <w:r>
              <w:rPr>
                <w:szCs w:val="21"/>
                <w:highlight w:val="none"/>
              </w:rPr>
              <w:t>（余万公斤）</w:t>
            </w:r>
          </w:p>
        </w:tc>
        <w:tc>
          <w:tcPr>
            <w:tcW w:w="1275" w:type="dxa"/>
            <w:vAlign w:val="center"/>
          </w:tcPr>
          <w:p>
            <w:pPr>
              <w:shd w:val="clear"/>
              <w:spacing w:line="560" w:lineRule="exact"/>
              <w:jc w:val="center"/>
              <w:rPr>
                <w:szCs w:val="21"/>
                <w:highlight w:val="none"/>
              </w:rPr>
            </w:pPr>
            <w:r>
              <w:rPr>
                <w:szCs w:val="21"/>
                <w:highlight w:val="none"/>
              </w:rPr>
              <w:t>规格</w:t>
            </w:r>
          </w:p>
        </w:tc>
        <w:tc>
          <w:tcPr>
            <w:tcW w:w="1523" w:type="dxa"/>
            <w:vAlign w:val="center"/>
          </w:tcPr>
          <w:p>
            <w:pPr>
              <w:shd w:val="clear"/>
              <w:spacing w:line="560" w:lineRule="exact"/>
              <w:jc w:val="center"/>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r>
              <w:rPr>
                <w:szCs w:val="21"/>
                <w:highlight w:val="none"/>
              </w:rPr>
              <w:t>1</w:t>
            </w:r>
          </w:p>
        </w:tc>
        <w:tc>
          <w:tcPr>
            <w:tcW w:w="1701" w:type="dxa"/>
            <w:vAlign w:val="bottom"/>
          </w:tcPr>
          <w:p>
            <w:pPr>
              <w:shd w:val="clear"/>
              <w:jc w:val="center"/>
              <w:rPr>
                <w:szCs w:val="21"/>
                <w:highlight w:val="none"/>
              </w:rPr>
            </w:pPr>
            <w:r>
              <w:rPr>
                <w:rFonts w:hint="eastAsia"/>
                <w:szCs w:val="21"/>
                <w:highlight w:val="none"/>
              </w:rPr>
              <w:t>安井撒尿牛丸</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0.7</w:t>
            </w:r>
          </w:p>
        </w:tc>
        <w:tc>
          <w:tcPr>
            <w:tcW w:w="1275" w:type="dxa"/>
            <w:noWrap/>
            <w:vAlign w:val="center"/>
          </w:tcPr>
          <w:p>
            <w:pPr>
              <w:shd w:val="clear"/>
              <w:jc w:val="center"/>
              <w:rPr>
                <w:szCs w:val="21"/>
                <w:highlight w:val="none"/>
              </w:rPr>
            </w:pPr>
            <w:r>
              <w:rPr>
                <w:szCs w:val="21"/>
                <w:highlight w:val="none"/>
              </w:rPr>
              <w:t>2.5kg</w:t>
            </w:r>
          </w:p>
        </w:tc>
        <w:tc>
          <w:tcPr>
            <w:tcW w:w="1523" w:type="dxa"/>
            <w:vMerge w:val="restart"/>
            <w:vAlign w:val="center"/>
          </w:tcPr>
          <w:p>
            <w:pPr>
              <w:shd w:val="clear"/>
              <w:spacing w:line="560" w:lineRule="exact"/>
              <w:jc w:val="center"/>
              <w:rPr>
                <w:szCs w:val="21"/>
                <w:highlight w:val="none"/>
              </w:rPr>
            </w:pPr>
            <w:r>
              <w:rPr>
                <w:rFonts w:hint="eastAsia"/>
                <w:sz w:val="18"/>
                <w:szCs w:val="18"/>
                <w:highlight w:val="none"/>
              </w:rPr>
              <w:t>具有该品质应有的形态，不变形，不破损；具有该品种应有的色泽、滋味、气味；无异味；外表及内部均无肉眼可见杂质。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p>
        </w:tc>
        <w:tc>
          <w:tcPr>
            <w:tcW w:w="1701" w:type="dxa"/>
            <w:vAlign w:val="bottom"/>
          </w:tcPr>
          <w:p>
            <w:pPr>
              <w:shd w:val="clear"/>
              <w:jc w:val="center"/>
              <w:rPr>
                <w:szCs w:val="21"/>
                <w:highlight w:val="none"/>
              </w:rPr>
            </w:pPr>
            <w:r>
              <w:rPr>
                <w:rFonts w:hint="eastAsia"/>
                <w:szCs w:val="21"/>
                <w:highlight w:val="none"/>
              </w:rPr>
              <w:t>安井包心鱼豆腐</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0.2</w:t>
            </w:r>
          </w:p>
        </w:tc>
        <w:tc>
          <w:tcPr>
            <w:tcW w:w="1275" w:type="dxa"/>
            <w:noWrap/>
            <w:vAlign w:val="center"/>
          </w:tcPr>
          <w:p>
            <w:pPr>
              <w:shd w:val="clear"/>
              <w:jc w:val="center"/>
              <w:rPr>
                <w:szCs w:val="21"/>
                <w:highlight w:val="none"/>
              </w:rPr>
            </w:pPr>
            <w:r>
              <w:rPr>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安井桂花肠</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0.1</w:t>
            </w:r>
          </w:p>
        </w:tc>
        <w:tc>
          <w:tcPr>
            <w:tcW w:w="1275" w:type="dxa"/>
            <w:noWrap/>
            <w:vAlign w:val="center"/>
          </w:tcPr>
          <w:p>
            <w:pPr>
              <w:shd w:val="clear"/>
              <w:jc w:val="center"/>
              <w:rPr>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安井其他品</w:t>
            </w:r>
          </w:p>
        </w:tc>
        <w:tc>
          <w:tcPr>
            <w:tcW w:w="1559" w:type="dxa"/>
            <w:vAlign w:val="center"/>
          </w:tcPr>
          <w:p>
            <w:pPr>
              <w:shd w:val="clear"/>
              <w:spacing w:line="560" w:lineRule="exact"/>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0.5</w:t>
            </w:r>
          </w:p>
        </w:tc>
        <w:tc>
          <w:tcPr>
            <w:tcW w:w="1275" w:type="dxa"/>
            <w:noWrap/>
            <w:vAlign w:val="center"/>
          </w:tcPr>
          <w:p>
            <w:pPr>
              <w:shd w:val="clear"/>
              <w:jc w:val="center"/>
              <w:rPr>
                <w:rFonts w:hint="eastAsia"/>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ign w:val="center"/>
          </w:tcPr>
          <w:p>
            <w:pPr>
              <w:shd w:val="clear"/>
              <w:spacing w:line="560" w:lineRule="exact"/>
              <w:jc w:val="center"/>
              <w:rPr>
                <w:szCs w:val="21"/>
                <w:highlight w:val="none"/>
              </w:rPr>
            </w:pPr>
            <w:r>
              <w:rPr>
                <w:rFonts w:hint="eastAsia"/>
                <w:szCs w:val="21"/>
                <w:highlight w:val="none"/>
              </w:rPr>
              <w:t>2</w:t>
            </w:r>
          </w:p>
        </w:tc>
        <w:tc>
          <w:tcPr>
            <w:tcW w:w="1701" w:type="dxa"/>
            <w:vAlign w:val="bottom"/>
          </w:tcPr>
          <w:p>
            <w:pPr>
              <w:shd w:val="clear"/>
              <w:jc w:val="center"/>
              <w:rPr>
                <w:szCs w:val="21"/>
                <w:highlight w:val="none"/>
              </w:rPr>
            </w:pPr>
            <w:r>
              <w:rPr>
                <w:rFonts w:hint="eastAsia"/>
                <w:szCs w:val="21"/>
                <w:highlight w:val="none"/>
              </w:rPr>
              <w:t>清真桂花肠</w:t>
            </w:r>
          </w:p>
        </w:tc>
        <w:tc>
          <w:tcPr>
            <w:tcW w:w="1559" w:type="dxa"/>
            <w:vAlign w:val="center"/>
          </w:tcPr>
          <w:p>
            <w:pPr>
              <w:shd w:val="clear"/>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0.2</w:t>
            </w:r>
          </w:p>
        </w:tc>
        <w:tc>
          <w:tcPr>
            <w:tcW w:w="1275" w:type="dxa"/>
            <w:noWrap/>
            <w:vAlign w:val="center"/>
          </w:tcPr>
          <w:p>
            <w:pPr>
              <w:shd w:val="clear"/>
              <w:jc w:val="center"/>
              <w:rPr>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清真其他品</w:t>
            </w:r>
          </w:p>
        </w:tc>
        <w:tc>
          <w:tcPr>
            <w:tcW w:w="1559" w:type="dxa"/>
            <w:vAlign w:val="center"/>
          </w:tcPr>
          <w:p>
            <w:pPr>
              <w:shd w:val="clear"/>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0.5</w:t>
            </w:r>
          </w:p>
        </w:tc>
        <w:tc>
          <w:tcPr>
            <w:tcW w:w="1275" w:type="dxa"/>
            <w:noWrap/>
            <w:vAlign w:val="center"/>
          </w:tcPr>
          <w:p>
            <w:pPr>
              <w:shd w:val="clear"/>
              <w:jc w:val="center"/>
              <w:rPr>
                <w:szCs w:val="21"/>
                <w:highlight w:val="none"/>
              </w:rPr>
            </w:pPr>
            <w:r>
              <w:rPr>
                <w:rFonts w:hint="eastAsia"/>
                <w:szCs w:val="21"/>
                <w:highlight w:val="none"/>
              </w:rPr>
              <w:t>2.5kg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szCs w:val="21"/>
                <w:highlight w:val="none"/>
              </w:rPr>
            </w:pPr>
            <w:r>
              <w:rPr>
                <w:rFonts w:hint="eastAsia"/>
                <w:szCs w:val="21"/>
                <w:highlight w:val="none"/>
              </w:rPr>
              <w:t>3</w:t>
            </w:r>
          </w:p>
        </w:tc>
        <w:tc>
          <w:tcPr>
            <w:tcW w:w="1701" w:type="dxa"/>
            <w:vAlign w:val="bottom"/>
          </w:tcPr>
          <w:p>
            <w:pPr>
              <w:shd w:val="clear"/>
              <w:jc w:val="center"/>
              <w:rPr>
                <w:szCs w:val="21"/>
                <w:highlight w:val="none"/>
              </w:rPr>
            </w:pPr>
            <w:r>
              <w:rPr>
                <w:rFonts w:hint="eastAsia"/>
                <w:szCs w:val="21"/>
                <w:highlight w:val="none"/>
              </w:rPr>
              <w:t>鱼豆腐</w:t>
            </w:r>
          </w:p>
        </w:tc>
        <w:tc>
          <w:tcPr>
            <w:tcW w:w="1559" w:type="dxa"/>
            <w:vAlign w:val="center"/>
          </w:tcPr>
          <w:p>
            <w:pPr>
              <w:shd w:val="clear"/>
              <w:jc w:val="center"/>
              <w:rPr>
                <w:szCs w:val="21"/>
                <w:highlight w:val="none"/>
              </w:rPr>
            </w:pPr>
          </w:p>
        </w:tc>
        <w:tc>
          <w:tcPr>
            <w:tcW w:w="1418" w:type="dxa"/>
            <w:noWrap/>
            <w:vAlign w:val="bottom"/>
          </w:tcPr>
          <w:p>
            <w:pPr>
              <w:shd w:val="clear"/>
              <w:jc w:val="center"/>
              <w:rPr>
                <w:szCs w:val="21"/>
                <w:highlight w:val="none"/>
              </w:rPr>
            </w:pPr>
            <w:r>
              <w:rPr>
                <w:rFonts w:hint="eastAsia"/>
                <w:szCs w:val="21"/>
                <w:highlight w:val="none"/>
              </w:rPr>
              <w:t>0.7</w:t>
            </w:r>
          </w:p>
        </w:tc>
        <w:tc>
          <w:tcPr>
            <w:tcW w:w="1275" w:type="dxa"/>
            <w:noWrap/>
            <w:vAlign w:val="center"/>
          </w:tcPr>
          <w:p>
            <w:pPr>
              <w:shd w:val="clear"/>
              <w:jc w:val="center"/>
              <w:rPr>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撒尿牛丸</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0.5</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章鱼丸</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0.5</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冻蟹棒</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0.3</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亲亲肠</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0.3</w:t>
            </w:r>
          </w:p>
        </w:tc>
        <w:tc>
          <w:tcPr>
            <w:tcW w:w="1275" w:type="dxa"/>
            <w:noWrap/>
            <w:vAlign w:val="center"/>
          </w:tcPr>
          <w:p>
            <w:pPr>
              <w:shd w:val="clear"/>
              <w:jc w:val="center"/>
              <w:rPr>
                <w:rFonts w:hint="eastAsia"/>
                <w:szCs w:val="21"/>
                <w:highlight w:val="none"/>
              </w:rPr>
            </w:pPr>
            <w:r>
              <w:rPr>
                <w:rFonts w:hint="eastAsia"/>
                <w:szCs w:val="21"/>
                <w:highlight w:val="none"/>
              </w:rPr>
              <w:t>kg</w:t>
            </w:r>
          </w:p>
        </w:tc>
        <w:tc>
          <w:tcPr>
            <w:tcW w:w="1523" w:type="dxa"/>
            <w:vMerge w:val="continue"/>
            <w:vAlign w:val="center"/>
          </w:tcPr>
          <w:p>
            <w:pPr>
              <w:shd w:val="clear"/>
              <w:spacing w:line="560" w:lineRule="exact"/>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6" w:type="dxa"/>
            <w:noWrap/>
            <w:vAlign w:val="center"/>
          </w:tcPr>
          <w:p>
            <w:pPr>
              <w:shd w:val="clear"/>
              <w:spacing w:line="560" w:lineRule="exact"/>
              <w:jc w:val="center"/>
              <w:rPr>
                <w:rFonts w:hint="eastAsia"/>
                <w:szCs w:val="21"/>
                <w:highlight w:val="none"/>
              </w:rPr>
            </w:pPr>
          </w:p>
        </w:tc>
        <w:tc>
          <w:tcPr>
            <w:tcW w:w="1701" w:type="dxa"/>
            <w:vAlign w:val="bottom"/>
          </w:tcPr>
          <w:p>
            <w:pPr>
              <w:shd w:val="clear"/>
              <w:jc w:val="center"/>
              <w:rPr>
                <w:rFonts w:hint="eastAsia"/>
                <w:szCs w:val="21"/>
                <w:highlight w:val="none"/>
              </w:rPr>
            </w:pPr>
            <w:r>
              <w:rPr>
                <w:rFonts w:hint="eastAsia"/>
                <w:szCs w:val="21"/>
                <w:highlight w:val="none"/>
              </w:rPr>
              <w:t>其他品</w:t>
            </w:r>
          </w:p>
        </w:tc>
        <w:tc>
          <w:tcPr>
            <w:tcW w:w="1559" w:type="dxa"/>
            <w:vAlign w:val="center"/>
          </w:tcPr>
          <w:p>
            <w:pPr>
              <w:shd w:val="clear"/>
              <w:jc w:val="center"/>
              <w:rPr>
                <w:szCs w:val="21"/>
                <w:highlight w:val="none"/>
              </w:rPr>
            </w:pPr>
          </w:p>
        </w:tc>
        <w:tc>
          <w:tcPr>
            <w:tcW w:w="1418" w:type="dxa"/>
            <w:noWrap/>
            <w:vAlign w:val="bottom"/>
          </w:tcPr>
          <w:p>
            <w:pPr>
              <w:shd w:val="clear"/>
              <w:jc w:val="center"/>
              <w:rPr>
                <w:rFonts w:hint="eastAsia"/>
                <w:szCs w:val="21"/>
                <w:highlight w:val="none"/>
              </w:rPr>
            </w:pPr>
            <w:r>
              <w:rPr>
                <w:rFonts w:hint="eastAsia"/>
                <w:szCs w:val="21"/>
                <w:highlight w:val="none"/>
              </w:rPr>
              <w:t>1.7</w:t>
            </w:r>
          </w:p>
        </w:tc>
        <w:tc>
          <w:tcPr>
            <w:tcW w:w="1275" w:type="dxa"/>
            <w:noWrap/>
            <w:vAlign w:val="center"/>
          </w:tcPr>
          <w:p>
            <w:pPr>
              <w:shd w:val="clear"/>
              <w:jc w:val="center"/>
              <w:rPr>
                <w:rFonts w:hint="eastAsia"/>
                <w:szCs w:val="21"/>
                <w:highlight w:val="none"/>
              </w:rPr>
            </w:pPr>
          </w:p>
        </w:tc>
        <w:tc>
          <w:tcPr>
            <w:tcW w:w="1523" w:type="dxa"/>
            <w:vMerge w:val="continue"/>
            <w:vAlign w:val="center"/>
          </w:tcPr>
          <w:p>
            <w:pPr>
              <w:shd w:val="clear"/>
              <w:spacing w:line="560" w:lineRule="exact"/>
              <w:jc w:val="center"/>
              <w:rPr>
                <w:szCs w:val="21"/>
                <w:highlight w:val="none"/>
              </w:rPr>
            </w:pPr>
          </w:p>
        </w:tc>
      </w:tr>
    </w:tbl>
    <w:p>
      <w:pPr>
        <w:shd w:val="clear"/>
        <w:spacing w:line="341" w:lineRule="auto"/>
        <w:rPr>
          <w:rFonts w:hint="eastAsia"/>
          <w:b/>
          <w:color w:val="000000"/>
          <w:sz w:val="24"/>
          <w:highlight w:val="none"/>
        </w:rPr>
      </w:pPr>
    </w:p>
    <w:p>
      <w:pPr>
        <w:shd w:val="clear"/>
        <w:spacing w:line="341" w:lineRule="auto"/>
        <w:rPr>
          <w:b/>
          <w:color w:val="000000"/>
          <w:sz w:val="24"/>
          <w:highlight w:val="none"/>
        </w:rPr>
      </w:pPr>
      <w:r>
        <w:rPr>
          <w:rFonts w:hint="eastAsia"/>
          <w:b/>
          <w:color w:val="000000"/>
          <w:sz w:val="24"/>
          <w:highlight w:val="none"/>
        </w:rPr>
        <w:t>六、采购标的需满足的服务标准、期限、效率等要求</w:t>
      </w:r>
    </w:p>
    <w:p>
      <w:pPr>
        <w:shd w:val="clear"/>
        <w:tabs>
          <w:tab w:val="left" w:pos="900"/>
        </w:tabs>
        <w:spacing w:before="156" w:beforeLines="50" w:line="360" w:lineRule="auto"/>
        <w:ind w:firstLine="480" w:firstLineChars="200"/>
        <w:rPr>
          <w:sz w:val="24"/>
          <w:highlight w:val="none"/>
        </w:rPr>
      </w:pPr>
      <w:r>
        <w:rPr>
          <w:sz w:val="24"/>
          <w:highlight w:val="none"/>
        </w:rPr>
        <w:t>1</w:t>
      </w:r>
      <w:r>
        <w:rPr>
          <w:rFonts w:hint="eastAsia"/>
          <w:sz w:val="24"/>
          <w:highlight w:val="none"/>
        </w:rPr>
        <w:t>、协议期内向订购的产品，其数量应根据采购人需要分次供应，每次供货数量以订单为准。</w:t>
      </w:r>
    </w:p>
    <w:p>
      <w:pPr>
        <w:shd w:val="clear"/>
        <w:tabs>
          <w:tab w:val="left" w:pos="900"/>
        </w:tabs>
        <w:spacing w:before="156" w:beforeLines="50" w:line="360" w:lineRule="auto"/>
        <w:ind w:firstLine="480" w:firstLineChars="200"/>
        <w:rPr>
          <w:sz w:val="24"/>
          <w:highlight w:val="none"/>
        </w:rPr>
      </w:pPr>
      <w:r>
        <w:rPr>
          <w:sz w:val="24"/>
          <w:highlight w:val="none"/>
        </w:rPr>
        <w:t>2</w:t>
      </w:r>
      <w:r>
        <w:rPr>
          <w:rFonts w:hint="eastAsia"/>
          <w:sz w:val="24"/>
          <w:highlight w:val="none"/>
        </w:rPr>
        <w:t>、不得提供临近保质期和超过保质期的原料，有效期应在产品出厂日期至保质期的二分之一时间范围内。</w:t>
      </w:r>
    </w:p>
    <w:p>
      <w:pPr>
        <w:shd w:val="clear"/>
        <w:tabs>
          <w:tab w:val="left" w:pos="900"/>
        </w:tabs>
        <w:spacing w:before="156" w:beforeLines="50" w:line="360" w:lineRule="auto"/>
        <w:ind w:firstLine="480" w:firstLineChars="200"/>
        <w:rPr>
          <w:sz w:val="24"/>
          <w:highlight w:val="none"/>
        </w:rPr>
      </w:pPr>
      <w:r>
        <w:rPr>
          <w:sz w:val="24"/>
          <w:highlight w:val="none"/>
        </w:rPr>
        <w:t>3</w:t>
      </w:r>
      <w:r>
        <w:rPr>
          <w:rFonts w:hint="eastAsia"/>
          <w:sz w:val="24"/>
          <w:highlight w:val="none"/>
        </w:rPr>
        <w:t>、提供的产品应符合国家质量、食品卫生、食品安全标准和食品检验标准，并提供具有官方资质的相关检验部门出具的检疫或质量检验报告单。</w:t>
      </w:r>
    </w:p>
    <w:p>
      <w:pPr>
        <w:shd w:val="clear"/>
        <w:tabs>
          <w:tab w:val="left" w:pos="900"/>
        </w:tabs>
        <w:spacing w:before="156" w:beforeLines="50" w:line="360" w:lineRule="auto"/>
        <w:ind w:firstLine="480" w:firstLineChars="200"/>
        <w:rPr>
          <w:sz w:val="24"/>
          <w:highlight w:val="none"/>
        </w:rPr>
      </w:pPr>
      <w:r>
        <w:rPr>
          <w:sz w:val="24"/>
          <w:highlight w:val="none"/>
        </w:rPr>
        <w:t>4</w:t>
      </w:r>
      <w:r>
        <w:rPr>
          <w:rFonts w:hint="eastAsia"/>
          <w:sz w:val="24"/>
          <w:highlight w:val="none"/>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hd w:val="clear"/>
        <w:tabs>
          <w:tab w:val="left" w:pos="900"/>
        </w:tabs>
        <w:spacing w:before="156" w:beforeLines="50" w:line="360" w:lineRule="auto"/>
        <w:ind w:firstLine="480" w:firstLineChars="200"/>
        <w:rPr>
          <w:sz w:val="24"/>
          <w:highlight w:val="none"/>
        </w:rPr>
      </w:pPr>
      <w:r>
        <w:rPr>
          <w:rFonts w:hint="eastAsia"/>
          <w:sz w:val="24"/>
          <w:highlight w:val="none"/>
        </w:rPr>
        <w:t>5、服务期限：本次项目服务期限为一年。</w:t>
      </w:r>
    </w:p>
    <w:p>
      <w:pPr>
        <w:shd w:val="clear"/>
        <w:spacing w:line="360" w:lineRule="auto"/>
        <w:ind w:firstLine="480" w:firstLineChars="200"/>
        <w:rPr>
          <w:sz w:val="24"/>
          <w:highlight w:val="none"/>
        </w:rPr>
      </w:pPr>
      <w:r>
        <w:rPr>
          <w:rFonts w:hint="eastAsia"/>
          <w:sz w:val="24"/>
          <w:highlight w:val="none"/>
        </w:rPr>
        <w:t>6、</w:t>
      </w:r>
      <w:r>
        <w:rPr>
          <w:rFonts w:hint="eastAsia" w:ascii="宋体" w:hAnsi="宋体" w:cs="宋体"/>
          <w:sz w:val="24"/>
          <w:highlight w:val="none"/>
        </w:rPr>
        <w:t>投标人配送车辆要密封完好，</w:t>
      </w:r>
      <w:r>
        <w:rPr>
          <w:rFonts w:hint="eastAsia"/>
          <w:sz w:val="24"/>
          <w:highlight w:val="none"/>
        </w:rPr>
        <w:t>保证清洁、无污染，</w:t>
      </w:r>
      <w:r>
        <w:rPr>
          <w:rFonts w:hint="eastAsia" w:ascii="宋体" w:hAnsi="宋体" w:cs="宋体"/>
          <w:sz w:val="24"/>
          <w:highlight w:val="none"/>
        </w:rPr>
        <w:t>其中冷冻产品</w:t>
      </w:r>
      <w:r>
        <w:rPr>
          <w:rFonts w:hint="eastAsia"/>
          <w:sz w:val="24"/>
          <w:highlight w:val="none"/>
        </w:rPr>
        <w:t>运输车辆须为冷链食品专用车辆，</w:t>
      </w:r>
      <w:r>
        <w:rPr>
          <w:rFonts w:hint="eastAsia" w:ascii="宋体" w:hAnsi="宋体" w:cs="宋体"/>
          <w:sz w:val="24"/>
          <w:highlight w:val="none"/>
        </w:rPr>
        <w:t>避免原材料因高温变质；预包装产品标识要符合国家标准并进行密封，避免卸货防疫消杀时二次污染原材料。</w:t>
      </w:r>
      <w:r>
        <w:rPr>
          <w:rFonts w:hint="eastAsia"/>
          <w:b/>
          <w:sz w:val="24"/>
          <w:highlight w:val="none"/>
        </w:rPr>
        <w:t>运输车辆必须有商业险，</w:t>
      </w:r>
      <w:r>
        <w:rPr>
          <w:rFonts w:hint="eastAsia"/>
          <w:sz w:val="24"/>
          <w:highlight w:val="none"/>
        </w:rPr>
        <w:t>其中第三者责任保险金额不低于100万元；</w:t>
      </w:r>
    </w:p>
    <w:p>
      <w:pPr>
        <w:shd w:val="clear"/>
        <w:tabs>
          <w:tab w:val="left" w:pos="900"/>
        </w:tabs>
        <w:spacing w:before="156" w:beforeLines="50" w:line="360" w:lineRule="auto"/>
        <w:ind w:firstLine="480" w:firstLineChars="200"/>
        <w:rPr>
          <w:sz w:val="24"/>
          <w:highlight w:val="none"/>
        </w:rPr>
      </w:pPr>
      <w:r>
        <w:rPr>
          <w:rFonts w:hint="eastAsia"/>
          <w:sz w:val="24"/>
          <w:highlight w:val="none"/>
        </w:rPr>
        <w:t>7、所提供的产品重量计算应为净重（按公斤计算）。</w:t>
      </w:r>
    </w:p>
    <w:p>
      <w:pPr>
        <w:shd w:val="clear"/>
        <w:tabs>
          <w:tab w:val="left" w:pos="900"/>
        </w:tabs>
        <w:spacing w:before="156" w:beforeLines="50" w:line="360" w:lineRule="auto"/>
        <w:ind w:firstLine="482" w:firstLineChars="200"/>
        <w:rPr>
          <w:b/>
          <w:sz w:val="24"/>
          <w:highlight w:val="none"/>
        </w:rPr>
      </w:pPr>
      <w:r>
        <w:rPr>
          <w:rFonts w:hint="eastAsia"/>
          <w:b/>
          <w:sz w:val="24"/>
          <w:highlight w:val="none"/>
        </w:rPr>
        <w:t>8、</w:t>
      </w:r>
      <w:r>
        <w:rPr>
          <w:rFonts w:hint="eastAsia"/>
          <w:b/>
          <w:sz w:val="24"/>
          <w:highlight w:val="none"/>
          <w:lang w:eastAsia="zh-CN"/>
        </w:rPr>
        <w:t xml:space="preserve">每次送货需要提供批次检验报告、批次核酸检验报告单。      </w:t>
      </w:r>
      <w:r>
        <w:rPr>
          <w:rFonts w:hint="eastAsia"/>
          <w:b/>
          <w:sz w:val="24"/>
          <w:highlight w:val="none"/>
        </w:rPr>
        <w:t xml:space="preserve">                      </w:t>
      </w:r>
    </w:p>
    <w:p>
      <w:pPr>
        <w:shd w:val="clear"/>
        <w:tabs>
          <w:tab w:val="left" w:pos="900"/>
        </w:tabs>
        <w:spacing w:before="156" w:beforeLines="50" w:line="360" w:lineRule="auto"/>
        <w:ind w:firstLine="482" w:firstLineChars="200"/>
        <w:rPr>
          <w:b/>
          <w:sz w:val="24"/>
          <w:highlight w:val="none"/>
        </w:rPr>
      </w:pPr>
      <w:r>
        <w:rPr>
          <w:rFonts w:hint="eastAsia"/>
          <w:b/>
          <w:sz w:val="24"/>
          <w:highlight w:val="none"/>
        </w:rPr>
        <w:t>9、投标人首次供货前要提供样品，与招标人共同确认，之后供货要与提供的样品标准一致，如出现标准不符或质量问题要无条件退换货。</w:t>
      </w:r>
    </w:p>
    <w:p>
      <w:pPr>
        <w:shd w:val="clear"/>
        <w:tabs>
          <w:tab w:val="left" w:pos="900"/>
        </w:tabs>
        <w:spacing w:before="156" w:beforeLines="50" w:line="360" w:lineRule="auto"/>
        <w:ind w:firstLine="482" w:firstLineChars="200"/>
        <w:rPr>
          <w:b/>
          <w:sz w:val="24"/>
          <w:highlight w:val="none"/>
        </w:rPr>
      </w:pPr>
      <w:r>
        <w:rPr>
          <w:rFonts w:hint="eastAsia"/>
          <w:b/>
          <w:sz w:val="24"/>
          <w:highlight w:val="none"/>
        </w:rPr>
        <w:t xml:space="preserve">10、冷冻产品投标人须具备针对本采购项目的冷库。                                                                                                                                                                                                                                                                                                                                                                                                                                                                                                                                                                                                                                                                                                                                                                                                                                                                                                                                                                                     </w:t>
      </w:r>
    </w:p>
    <w:p>
      <w:pPr>
        <w:shd w:val="clear"/>
        <w:spacing w:line="341" w:lineRule="auto"/>
        <w:rPr>
          <w:b/>
          <w:color w:val="000000"/>
          <w:sz w:val="24"/>
          <w:highlight w:val="none"/>
        </w:rPr>
      </w:pPr>
      <w:r>
        <w:rPr>
          <w:rFonts w:hint="eastAsia"/>
          <w:b/>
          <w:color w:val="000000"/>
          <w:sz w:val="24"/>
          <w:highlight w:val="none"/>
        </w:rPr>
        <w:t>七、</w:t>
      </w:r>
      <w:r>
        <w:rPr>
          <w:b/>
          <w:color w:val="000000"/>
          <w:sz w:val="24"/>
          <w:highlight w:val="none"/>
        </w:rPr>
        <w:t>售后及服务</w:t>
      </w:r>
    </w:p>
    <w:p>
      <w:pPr>
        <w:shd w:val="clear"/>
        <w:spacing w:line="400" w:lineRule="exact"/>
        <w:ind w:firstLine="480" w:firstLineChars="200"/>
        <w:rPr>
          <w:sz w:val="24"/>
          <w:highlight w:val="none"/>
        </w:rPr>
      </w:pPr>
      <w:r>
        <w:rPr>
          <w:rFonts w:hint="eastAsia"/>
          <w:sz w:val="24"/>
          <w:highlight w:val="none"/>
        </w:rPr>
        <w:t>1、</w:t>
      </w:r>
      <w:r>
        <w:rPr>
          <w:sz w:val="24"/>
          <w:highlight w:val="none"/>
        </w:rPr>
        <w:t>能够准确提供本项目售后服务总负责人的姓名、职务、详细地址和联系方式。</w:t>
      </w:r>
    </w:p>
    <w:p>
      <w:pPr>
        <w:shd w:val="clear"/>
        <w:spacing w:line="400" w:lineRule="exact"/>
        <w:ind w:firstLine="480" w:firstLineChars="200"/>
        <w:rPr>
          <w:sz w:val="24"/>
          <w:highlight w:val="none"/>
        </w:rPr>
      </w:pPr>
      <w:r>
        <w:rPr>
          <w:rFonts w:hint="eastAsia"/>
          <w:sz w:val="24"/>
          <w:highlight w:val="none"/>
        </w:rPr>
        <w:t>2、</w:t>
      </w:r>
      <w:r>
        <w:rPr>
          <w:sz w:val="24"/>
          <w:highlight w:val="none"/>
        </w:rPr>
        <w:t>能够准确提供投标人在供货地点城市的本地化服务机构（及售后服务网点明细）及相关证明材料。</w:t>
      </w:r>
    </w:p>
    <w:p>
      <w:pPr>
        <w:shd w:val="clear"/>
        <w:spacing w:line="400" w:lineRule="exact"/>
        <w:ind w:firstLine="480" w:firstLineChars="200"/>
        <w:rPr>
          <w:sz w:val="24"/>
          <w:highlight w:val="none"/>
        </w:rPr>
      </w:pPr>
      <w:r>
        <w:rPr>
          <w:sz w:val="24"/>
          <w:highlight w:val="none"/>
        </w:rPr>
        <w:t>3、承诺所投货物在质保期内因产品质量问题投标供应商负责免费更换。</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4、投标人能够承诺在接到售后服务电话后2小时内到场响应，8小时内解决问题。</w:t>
      </w:r>
    </w:p>
    <w:p>
      <w:pPr>
        <w:shd w:val="clear"/>
        <w:spacing w:line="360" w:lineRule="auto"/>
        <w:ind w:firstLine="480" w:firstLineChars="200"/>
        <w:rPr>
          <w:rFonts w:ascii="宋体" w:hAnsi="宋体" w:cs="宋体"/>
          <w:sz w:val="24"/>
          <w:highlight w:val="none"/>
        </w:rPr>
      </w:pPr>
      <w:r>
        <w:rPr>
          <w:rFonts w:hint="eastAsia" w:ascii="宋体" w:hAnsi="宋体" w:cs="宋体"/>
          <w:sz w:val="24"/>
          <w:highlight w:val="none"/>
        </w:rPr>
        <w:t>5、投标人应提供突发事件处置方案，避免因突发事件导致供货不及时，延误招标人使用。</w:t>
      </w:r>
    </w:p>
    <w:p>
      <w:pPr>
        <w:shd w:val="clear"/>
        <w:spacing w:line="360" w:lineRule="auto"/>
        <w:rPr>
          <w:highlight w:val="none"/>
        </w:rPr>
      </w:pPr>
      <w:r>
        <w:rPr>
          <w:rFonts w:hint="eastAsia"/>
          <w:b/>
          <w:color w:val="000000"/>
          <w:sz w:val="24"/>
          <w:highlight w:val="none"/>
        </w:rPr>
        <w:t>八、市场调研范围</w:t>
      </w:r>
    </w:p>
    <w:p>
      <w:pPr>
        <w:shd w:val="clear"/>
        <w:spacing w:line="400" w:lineRule="exact"/>
        <w:ind w:firstLine="480" w:firstLineChars="200"/>
        <w:rPr>
          <w:sz w:val="24"/>
          <w:highlight w:val="none"/>
        </w:rPr>
      </w:pPr>
      <w:r>
        <w:rPr>
          <w:rFonts w:hint="eastAsia"/>
          <w:sz w:val="24"/>
          <w:highlight w:val="none"/>
        </w:rPr>
        <w:t>冷冻丸子：南极市场、江北润恒市场、市区农贸市场。</w:t>
      </w:r>
    </w:p>
    <w:p>
      <w:pPr>
        <w:shd w:val="clear"/>
        <w:spacing w:line="341" w:lineRule="auto"/>
        <w:rPr>
          <w:b/>
          <w:color w:val="000000"/>
          <w:sz w:val="24"/>
          <w:highlight w:val="none"/>
        </w:rPr>
      </w:pPr>
      <w:r>
        <w:rPr>
          <w:rFonts w:hint="eastAsia"/>
          <w:b/>
          <w:color w:val="000000"/>
          <w:sz w:val="24"/>
          <w:highlight w:val="none"/>
        </w:rPr>
        <w:t>九、报帐和结算</w:t>
      </w:r>
    </w:p>
    <w:p>
      <w:pPr>
        <w:shd w:val="clear"/>
        <w:spacing w:line="400" w:lineRule="exact"/>
        <w:ind w:firstLine="480" w:firstLineChars="200"/>
        <w:rPr>
          <w:sz w:val="24"/>
          <w:highlight w:val="none"/>
        </w:rPr>
      </w:pPr>
      <w:r>
        <w:rPr>
          <w:rFonts w:hint="eastAsia"/>
          <w:sz w:val="24"/>
          <w:highlight w:val="none"/>
        </w:rPr>
        <w:t>1、乙方需提供符合国家规定的税务发票。</w:t>
      </w:r>
    </w:p>
    <w:p>
      <w:pPr>
        <w:shd w:val="clear"/>
        <w:spacing w:line="400" w:lineRule="exact"/>
        <w:ind w:firstLine="480" w:firstLineChars="200"/>
        <w:rPr>
          <w:sz w:val="24"/>
          <w:highlight w:val="none"/>
        </w:rPr>
      </w:pPr>
      <w:r>
        <w:rPr>
          <w:rFonts w:hint="eastAsia"/>
          <w:sz w:val="24"/>
          <w:highlight w:val="none"/>
        </w:rPr>
        <w:t>2、货款一律以人民币结算。</w:t>
      </w:r>
    </w:p>
    <w:p>
      <w:pPr>
        <w:shd w:val="clear"/>
        <w:spacing w:line="400" w:lineRule="exact"/>
        <w:ind w:firstLine="480" w:firstLineChars="200"/>
        <w:rPr>
          <w:sz w:val="24"/>
          <w:highlight w:val="none"/>
        </w:rPr>
      </w:pPr>
      <w:r>
        <w:rPr>
          <w:rFonts w:hint="eastAsia"/>
          <w:sz w:val="24"/>
          <w:highlight w:val="none"/>
        </w:rPr>
        <w:t>3、付款方式：货到付款，以银行电汇进行结算。</w:t>
      </w:r>
    </w:p>
    <w:p>
      <w:pPr>
        <w:shd w:val="clear"/>
        <w:spacing w:line="400" w:lineRule="exact"/>
        <w:ind w:firstLine="480" w:firstLineChars="200"/>
        <w:rPr>
          <w:rFonts w:hint="eastAsia"/>
          <w:sz w:val="24"/>
          <w:highlight w:val="none"/>
        </w:rPr>
      </w:pPr>
      <w:r>
        <w:rPr>
          <w:rFonts w:hint="eastAsia"/>
          <w:sz w:val="24"/>
          <w:highlight w:val="none"/>
        </w:rPr>
        <w:t>4、货款须在产品验收合格后，并经相关审批手续后方可进行结算，账期为15个工作日。</w:t>
      </w:r>
    </w:p>
    <w:p>
      <w:pPr>
        <w:widowControl/>
        <w:spacing w:line="360" w:lineRule="auto"/>
        <w:ind w:firstLine="480"/>
        <w:rPr>
          <w:rFonts w:hint="eastAsia" w:ascii="宋体" w:hAnsi="宋体" w:eastAsia="微软雅黑" w:cs="Times New Roman"/>
          <w:b/>
          <w:bCs/>
          <w:color w:val="auto"/>
          <w:sz w:val="24"/>
          <w:highlight w:val="none"/>
          <w:lang w:eastAsia="zh-CN"/>
        </w:rPr>
      </w:pPr>
      <w:r>
        <w:rPr>
          <w:rFonts w:hint="eastAsia" w:ascii="宋体" w:hAnsi="宋体" w:cs="Times New Roman"/>
          <w:b/>
          <w:bCs/>
          <w:color w:val="auto"/>
          <w:sz w:val="24"/>
          <w:highlight w:val="none"/>
          <w:lang w:eastAsia="zh-CN"/>
        </w:rPr>
        <w:t>提醒：</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★1、以上采购需求不指向任何一种品牌或供应商，★项技术参数为重要技术指标，有1项不满足按投标无效处理。</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如响应技术条款优于招标文件要求，填写“正偏离”，如简单填写“响应”或“完全响应”投标无效。</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4、根据《财政部 发展改革委 生态环境部 市场监管总局 关于调整优化节能产品、环境标志产品政府采购执行机制的通知》（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★5、采购人所采购的产品属于国家有关安全、节能、环保等强制性标准时，供应商所投产品必须同时满足强制标准和本项目采购要求，且须在响应文件中按前款规定要求标明并提供认证证书。</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★6、信息安全产品，需提供由中国信息安全认证中心按国家标准认证颁发的有效认证证书，应符合《关于信息安全产品实施政府采购的通知》（财库【2010】48号）要求。</w:t>
      </w:r>
    </w:p>
    <w:p>
      <w:r>
        <w:rPr>
          <w:rFonts w:hint="eastAsia" w:ascii="宋体" w:hAnsi="宋体" w:cs="Times New Roman"/>
          <w:color w:val="auto"/>
          <w:sz w:val="24"/>
          <w:highlight w:val="none"/>
        </w:rPr>
        <w:t>7、报价产品的各项技术指标不能低于国家强制性标准，否则投标无效。</w:t>
      </w:r>
    </w:p>
    <w:p>
      <w:pPr>
        <w:pStyle w:val="2"/>
        <w:shd w:val="clear"/>
        <w:jc w:val="both"/>
        <w:rPr>
          <w:rFonts w:hint="eastAsia"/>
          <w:highlight w:val="none"/>
          <w:lang w:val="en-US" w:eastAsia="zh-CN"/>
        </w:rPr>
      </w:pPr>
    </w:p>
    <w:p>
      <w:pPr>
        <w:pStyle w:val="4"/>
        <w:shd w:val="clear"/>
        <w:spacing w:line="360" w:lineRule="auto"/>
        <w:rPr>
          <w:rFonts w:hint="eastAsia"/>
          <w:color w:val="auto"/>
          <w:highlight w:val="none"/>
        </w:rPr>
      </w:pPr>
      <w:bookmarkStart w:id="2" w:name="_Toc28889"/>
      <w:r>
        <w:rPr>
          <w:rFonts w:hint="eastAsia"/>
          <w:color w:val="auto"/>
          <w:highlight w:val="none"/>
        </w:rPr>
        <w:t>供应商应提供以下资格证明文件</w:t>
      </w:r>
      <w:bookmarkEnd w:id="0"/>
      <w:bookmarkEnd w:id="1"/>
      <w:bookmarkEnd w:id="2"/>
    </w:p>
    <w:p>
      <w:pPr>
        <w:widowControl/>
        <w:shd w:val="clear"/>
        <w:spacing w:line="360" w:lineRule="auto"/>
        <w:ind w:firstLine="480"/>
        <w:rPr>
          <w:rFonts w:hint="eastAsia" w:ascii="宋体" w:hAnsi="宋体" w:cs="宋体"/>
          <w:color w:val="auto"/>
          <w:kern w:val="0"/>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hint="eastAsia" w:ascii="宋体" w:hAnsi="宋体" w:cs="宋体"/>
          <w:color w:val="auto"/>
          <w:kern w:val="0"/>
          <w:sz w:val="24"/>
          <w:highlight w:val="none"/>
        </w:rPr>
        <w:t>法人授权委托书（按招标文件要求格式签署）；</w:t>
      </w:r>
    </w:p>
    <w:p>
      <w:pPr>
        <w:widowControl/>
        <w:shd w:val="clear"/>
        <w:spacing w:line="360" w:lineRule="auto"/>
        <w:ind w:firstLine="480"/>
        <w:rPr>
          <w:rFonts w:ascii="宋体" w:hAnsi="宋体" w:cs="宋体"/>
          <w:color w:val="auto"/>
          <w:kern w:val="0"/>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s="宋体"/>
          <w:color w:val="auto"/>
          <w:kern w:val="0"/>
          <w:sz w:val="24"/>
          <w:highlight w:val="none"/>
        </w:rPr>
        <w:t>被授权人身份证；</w:t>
      </w:r>
    </w:p>
    <w:p>
      <w:pPr>
        <w:widowControl/>
        <w:shd w:val="clear"/>
        <w:spacing w:line="360" w:lineRule="auto"/>
        <w:ind w:firstLine="480"/>
        <w:rPr>
          <w:rFonts w:ascii="宋体" w:hAnsi="宋体"/>
          <w:color w:val="auto"/>
          <w:sz w:val="24"/>
          <w:highlight w:val="none"/>
        </w:rPr>
      </w:pPr>
      <w:r>
        <w:rPr>
          <w:rFonts w:hint="eastAsia" w:ascii="宋体" w:hAnsi="宋体" w:cs="宋体"/>
          <w:color w:val="auto"/>
          <w:kern w:val="0"/>
          <w:sz w:val="24"/>
          <w:highlight w:val="none"/>
        </w:rPr>
        <w:t>3</w:t>
      </w:r>
      <w:r>
        <w:rPr>
          <w:rFonts w:hint="eastAsia" w:ascii="MS Mincho" w:hAnsi="MS Mincho" w:cs="MS Mincho"/>
          <w:color w:val="auto"/>
          <w:sz w:val="24"/>
          <w:highlight w:val="none"/>
        </w:rPr>
        <w:t>★</w:t>
      </w:r>
      <w:r>
        <w:rPr>
          <w:rFonts w:hint="eastAsia" w:ascii="宋体" w:hAnsi="宋体" w:cs="宋体"/>
          <w:color w:val="auto"/>
          <w:kern w:val="0"/>
          <w:sz w:val="24"/>
          <w:highlight w:val="none"/>
        </w:rPr>
        <w:t>法定代表人</w:t>
      </w:r>
      <w:r>
        <w:rPr>
          <w:rFonts w:hint="eastAsia" w:ascii="宋体" w:hAnsi="宋体"/>
          <w:sz w:val="24"/>
          <w:highlight w:val="none"/>
        </w:rPr>
        <w:t>（单位负责人）</w:t>
      </w:r>
      <w:r>
        <w:rPr>
          <w:rFonts w:hint="eastAsia" w:ascii="宋体" w:hAnsi="宋体" w:cs="宋体"/>
          <w:color w:val="auto"/>
          <w:kern w:val="0"/>
          <w:sz w:val="24"/>
          <w:highlight w:val="none"/>
        </w:rPr>
        <w:t>身份证（如报名人为法定代表人</w:t>
      </w:r>
      <w:r>
        <w:rPr>
          <w:rFonts w:hint="eastAsia" w:ascii="宋体" w:hAnsi="宋体"/>
          <w:sz w:val="24"/>
          <w:highlight w:val="none"/>
        </w:rPr>
        <w:t>（单位负责人）</w:t>
      </w:r>
      <w:r>
        <w:rPr>
          <w:rFonts w:hint="eastAsia" w:ascii="宋体" w:hAnsi="宋体" w:cs="宋体"/>
          <w:color w:val="auto"/>
          <w:kern w:val="0"/>
          <w:sz w:val="24"/>
          <w:highlight w:val="none"/>
        </w:rPr>
        <w:t>，须提供本人的身份证）；</w:t>
      </w:r>
    </w:p>
    <w:p>
      <w:pPr>
        <w:shd w:val="clear"/>
        <w:tabs>
          <w:tab w:val="left" w:pos="148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MS Mincho" w:hAnsi="MS Mincho" w:cs="MS Mincho"/>
          <w:color w:val="auto"/>
          <w:sz w:val="24"/>
          <w:highlight w:val="none"/>
        </w:rPr>
        <w:t>★</w:t>
      </w:r>
      <w:r>
        <w:rPr>
          <w:rFonts w:hint="eastAsia" w:ascii="宋体" w:hAnsi="宋体"/>
          <w:color w:val="auto"/>
          <w:sz w:val="24"/>
          <w:highlight w:val="none"/>
        </w:rPr>
        <w:t>营业执照；</w:t>
      </w:r>
      <w:r>
        <w:rPr>
          <w:rFonts w:hint="eastAsia" w:ascii="宋体" w:hAnsi="宋体"/>
          <w:color w:val="auto"/>
          <w:sz w:val="24"/>
          <w:highlight w:val="none"/>
        </w:rPr>
        <w:tab/>
      </w:r>
    </w:p>
    <w:p>
      <w:pPr>
        <w:widowControl/>
        <w:shd w:val="clear"/>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MS Mincho" w:hAnsi="MS Mincho" w:cs="MS Mincho"/>
          <w:color w:val="auto"/>
          <w:sz w:val="24"/>
          <w:highlight w:val="none"/>
        </w:rPr>
        <w:t>★</w:t>
      </w:r>
      <w:r>
        <w:rPr>
          <w:rFonts w:hint="eastAsia" w:ascii="宋体" w:hAnsi="宋体" w:cs="宋体"/>
          <w:color w:val="auto"/>
          <w:kern w:val="0"/>
          <w:sz w:val="24"/>
          <w:highlight w:val="none"/>
        </w:rPr>
        <w:t>基本账户开户许可证或基本存款账户信息单；</w:t>
      </w:r>
    </w:p>
    <w:p>
      <w:pPr>
        <w:shd w:val="clear"/>
        <w:tabs>
          <w:tab w:val="left" w:pos="1485"/>
        </w:tabs>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6</w:t>
      </w:r>
      <w:r>
        <w:rPr>
          <w:rFonts w:hint="eastAsia" w:ascii="MS Mincho" w:hAnsi="MS Mincho" w:cs="MS Mincho"/>
          <w:color w:val="auto"/>
          <w:sz w:val="24"/>
          <w:highlight w:val="none"/>
        </w:rPr>
        <w:t>★</w:t>
      </w:r>
      <w:r>
        <w:rPr>
          <w:rFonts w:hint="eastAsia" w:ascii="微软雅黑" w:hAnsi="微软雅黑" w:cs="微软雅黑"/>
          <w:color w:val="auto"/>
          <w:sz w:val="24"/>
          <w:highlight w:val="none"/>
          <w:lang w:val="en-US" w:eastAsia="zh-CN"/>
        </w:rPr>
        <w:t>有效期内的</w:t>
      </w:r>
      <w:r>
        <w:rPr>
          <w:rFonts w:hint="eastAsia" w:ascii="微软雅黑" w:hAnsi="微软雅黑" w:cs="微软雅黑"/>
          <w:color w:val="auto"/>
          <w:sz w:val="24"/>
          <w:highlight w:val="none"/>
          <w:lang w:eastAsia="zh-CN"/>
        </w:rPr>
        <w:t>《食品生产许可证》或《食品经营许可证》或《食品流通许可证》或提供试用于本项目的经营许可类证明材料</w:t>
      </w:r>
      <w:r>
        <w:rPr>
          <w:rFonts w:hint="eastAsia" w:ascii="宋体" w:hAnsi="宋体"/>
          <w:color w:val="auto"/>
          <w:sz w:val="24"/>
          <w:highlight w:val="none"/>
          <w:lang w:eastAsia="zh-CN"/>
        </w:rPr>
        <w:t>。</w:t>
      </w:r>
    </w:p>
    <w:p>
      <w:pPr>
        <w:shd w:val="clear"/>
        <w:tabs>
          <w:tab w:val="left" w:pos="1485"/>
        </w:tabs>
        <w:spacing w:line="360" w:lineRule="auto"/>
        <w:ind w:firstLine="480" w:firstLineChars="200"/>
        <w:rPr>
          <w:highlight w:val="none"/>
        </w:rPr>
      </w:pPr>
      <w:r>
        <w:rPr>
          <w:rFonts w:hint="eastAsia" w:ascii="宋体" w:hAnsi="宋体"/>
          <w:color w:val="auto"/>
          <w:sz w:val="24"/>
          <w:highlight w:val="none"/>
          <w:lang w:val="en-US" w:eastAsia="zh-CN"/>
        </w:rPr>
        <w:t>7</w:t>
      </w:r>
      <w:r>
        <w:rPr>
          <w:rFonts w:hint="eastAsia" w:ascii="MS Mincho" w:hAnsi="MS Mincho" w:cs="MS Mincho"/>
          <w:color w:val="auto"/>
          <w:sz w:val="24"/>
          <w:highlight w:val="none"/>
        </w:rPr>
        <w:t>★</w:t>
      </w:r>
      <w:r>
        <w:rPr>
          <w:rFonts w:hint="eastAsia" w:ascii="MS Mincho" w:hAnsi="MS Mincho" w:cs="MS Mincho"/>
          <w:color w:val="auto"/>
          <w:sz w:val="24"/>
          <w:highlight w:val="none"/>
          <w:lang w:eastAsia="zh-CN"/>
        </w:rPr>
        <w:t>提供中小企业声明函</w:t>
      </w:r>
      <w:r>
        <w:rPr>
          <w:rFonts w:hint="eastAsia" w:ascii="宋体" w:hAnsi="宋体"/>
          <w:color w:val="auto"/>
          <w:sz w:val="24"/>
          <w:highlight w:val="none"/>
        </w:rPr>
        <w:tab/>
      </w:r>
    </w:p>
    <w:p>
      <w:pPr>
        <w:pStyle w:val="4"/>
        <w:shd w:val="clear"/>
        <w:spacing w:line="360" w:lineRule="auto"/>
        <w:rPr>
          <w:color w:val="auto"/>
          <w:highlight w:val="none"/>
        </w:rPr>
      </w:pPr>
      <w:bookmarkStart w:id="3" w:name="_Toc11259"/>
      <w:r>
        <w:rPr>
          <w:rFonts w:hint="eastAsia"/>
          <w:color w:val="auto"/>
          <w:highlight w:val="none"/>
        </w:rPr>
        <w:t>供应商应提供以下商务技术文件</w:t>
      </w:r>
      <w:bookmarkEnd w:id="3"/>
    </w:p>
    <w:p>
      <w:pPr>
        <w:shd w:val="clear"/>
        <w:spacing w:line="360" w:lineRule="auto"/>
        <w:ind w:firstLine="540"/>
        <w:rPr>
          <w:rFonts w:ascii="宋体" w:hAnsi="宋体"/>
          <w:color w:val="auto"/>
          <w:sz w:val="24"/>
          <w:highlight w:val="none"/>
        </w:rPr>
      </w:pPr>
      <w:r>
        <w:rPr>
          <w:rFonts w:hint="eastAsia" w:ascii="宋体" w:hAnsi="宋体"/>
          <w:color w:val="auto"/>
          <w:sz w:val="24"/>
          <w:highlight w:val="none"/>
        </w:rPr>
        <w:t>1</w:t>
      </w:r>
      <w:r>
        <w:rPr>
          <w:rFonts w:hint="eastAsia" w:ascii="MS Mincho" w:hAnsi="MS Mincho" w:cs="MS Mincho"/>
          <w:color w:val="auto"/>
          <w:sz w:val="24"/>
          <w:highlight w:val="none"/>
        </w:rPr>
        <w:t>★</w:t>
      </w:r>
      <w:r>
        <w:rPr>
          <w:rFonts w:ascii="宋体" w:hAnsi="宋体"/>
          <w:color w:val="auto"/>
          <w:sz w:val="24"/>
          <w:highlight w:val="none"/>
        </w:rPr>
        <w:t>投标函</w:t>
      </w:r>
    </w:p>
    <w:p>
      <w:pPr>
        <w:shd w:val="clear"/>
        <w:spacing w:line="360" w:lineRule="auto"/>
        <w:ind w:firstLine="540"/>
        <w:rPr>
          <w:rFonts w:ascii="宋体" w:hAnsi="宋体"/>
          <w:color w:val="auto"/>
          <w:sz w:val="24"/>
          <w:highlight w:val="none"/>
        </w:rPr>
      </w:pPr>
      <w:r>
        <w:rPr>
          <w:rFonts w:hint="eastAsia" w:ascii="宋体" w:hAnsi="宋体"/>
          <w:color w:val="auto"/>
          <w:sz w:val="24"/>
          <w:highlight w:val="none"/>
        </w:rPr>
        <w:t>2</w:t>
      </w:r>
      <w:r>
        <w:rPr>
          <w:rFonts w:hint="eastAsia" w:ascii="MS Mincho" w:hAnsi="MS Mincho" w:cs="MS Mincho"/>
          <w:color w:val="auto"/>
          <w:sz w:val="24"/>
          <w:highlight w:val="none"/>
        </w:rPr>
        <w:t>★</w:t>
      </w:r>
      <w:r>
        <w:rPr>
          <w:rFonts w:hint="eastAsia" w:ascii="宋体" w:hAnsi="宋体"/>
          <w:color w:val="auto"/>
          <w:sz w:val="24"/>
          <w:highlight w:val="none"/>
        </w:rPr>
        <w:t>开标一览表</w:t>
      </w:r>
    </w:p>
    <w:p>
      <w:pPr>
        <w:shd w:val="clear"/>
        <w:spacing w:line="360" w:lineRule="auto"/>
        <w:ind w:firstLine="540" w:firstLineChars="225"/>
        <w:rPr>
          <w:rFonts w:hint="eastAsia" w:ascii="宋体" w:hAnsi="宋体"/>
          <w:color w:val="auto"/>
          <w:sz w:val="24"/>
          <w:highlight w:val="none"/>
        </w:rPr>
      </w:pPr>
      <w:r>
        <w:rPr>
          <w:rFonts w:hint="eastAsia" w:ascii="宋体" w:hAnsi="宋体"/>
          <w:color w:val="auto"/>
          <w:sz w:val="24"/>
          <w:highlight w:val="none"/>
        </w:rPr>
        <w:t>3</w:t>
      </w:r>
      <w:r>
        <w:rPr>
          <w:rFonts w:hint="eastAsia" w:ascii="MS Mincho" w:hAnsi="MS Mincho" w:cs="MS Mincho"/>
          <w:color w:val="auto"/>
          <w:sz w:val="24"/>
          <w:highlight w:val="none"/>
        </w:rPr>
        <w:t>★</w:t>
      </w:r>
      <w:r>
        <w:rPr>
          <w:rFonts w:ascii="宋体" w:hAnsi="宋体"/>
          <w:color w:val="auto"/>
          <w:sz w:val="24"/>
          <w:highlight w:val="none"/>
        </w:rPr>
        <w:t>资格证明文件</w:t>
      </w:r>
    </w:p>
    <w:p>
      <w:pPr>
        <w:shd w:val="clear"/>
        <w:snapToGrid w:val="0"/>
        <w:spacing w:line="360" w:lineRule="auto"/>
        <w:ind w:firstLine="540" w:firstLineChars="225"/>
        <w:rPr>
          <w:rFonts w:ascii="黑体" w:hAnsi="宋体" w:eastAsia="黑体"/>
          <w:color w:val="auto"/>
          <w:sz w:val="24"/>
          <w:highlight w:val="none"/>
        </w:rPr>
      </w:pPr>
      <w:r>
        <w:rPr>
          <w:rFonts w:hint="eastAsia" w:ascii="宋体" w:hAnsi="宋体"/>
          <w:color w:val="auto"/>
          <w:sz w:val="24"/>
          <w:highlight w:val="none"/>
        </w:rPr>
        <w:t>4其他需要提供的有效文件</w:t>
      </w:r>
    </w:p>
    <w:p>
      <w:pPr>
        <w:shd w:val="clear"/>
        <w:spacing w:line="360" w:lineRule="auto"/>
        <w:ind w:firstLine="540"/>
        <w:rPr>
          <w:rFonts w:ascii="黑体" w:hAnsi="宋体" w:eastAsia="黑体"/>
          <w:color w:val="auto"/>
          <w:sz w:val="24"/>
          <w:highlight w:val="none"/>
        </w:rPr>
      </w:pPr>
      <w:r>
        <w:rPr>
          <w:rFonts w:ascii="黑体" w:hAnsi="宋体" w:eastAsia="黑体"/>
          <w:color w:val="auto"/>
          <w:sz w:val="24"/>
          <w:highlight w:val="none"/>
        </w:rPr>
        <w:t>以上</w:t>
      </w:r>
      <w:r>
        <w:rPr>
          <w:rFonts w:hint="eastAsia" w:ascii="黑体" w:hAnsi="宋体" w:eastAsia="黑体"/>
          <w:color w:val="auto"/>
          <w:sz w:val="24"/>
          <w:highlight w:val="none"/>
        </w:rPr>
        <w:t>★号为必备条款，任一条不满足则视为投标无效</w:t>
      </w:r>
      <w:r>
        <w:rPr>
          <w:rFonts w:ascii="黑体" w:hAnsi="宋体" w:eastAsia="黑体"/>
          <w:color w:val="auto"/>
          <w:sz w:val="24"/>
          <w:highlight w:val="none"/>
        </w:rPr>
        <w:t>。</w:t>
      </w:r>
    </w:p>
    <w:p>
      <w:pPr>
        <w:pStyle w:val="4"/>
        <w:shd w:val="clear"/>
        <w:spacing w:before="120" w:beforeLines="50" w:after="120" w:afterLines="50" w:line="360" w:lineRule="auto"/>
        <w:rPr>
          <w:color w:val="auto"/>
          <w:highlight w:val="none"/>
        </w:rPr>
      </w:pPr>
      <w:bookmarkStart w:id="4" w:name="_Toc25465"/>
      <w:r>
        <w:rPr>
          <w:rFonts w:hint="eastAsia"/>
          <w:color w:val="auto"/>
          <w:highlight w:val="none"/>
        </w:rPr>
        <w:t>其他</w:t>
      </w:r>
      <w:bookmarkEnd w:id="4"/>
    </w:p>
    <w:p>
      <w:pPr>
        <w:shd w:val="clear"/>
        <w:snapToGrid w:val="0"/>
        <w:spacing w:line="360" w:lineRule="auto"/>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与本项目招标相关的事务及澄清公告敬请关注招标公告发布媒介。</w:t>
      </w:r>
    </w:p>
    <w:p>
      <w:pPr>
        <w:shd w:val="clear"/>
        <w:rPr>
          <w:rFonts w:ascii="宋体" w:hAnsi="宋体" w:cs="宋体"/>
          <w:b/>
          <w:color w:val="auto"/>
          <w:kern w:val="0"/>
          <w:sz w:val="28"/>
          <w:szCs w:val="28"/>
          <w:highlight w:val="none"/>
        </w:rPr>
      </w:pPr>
    </w:p>
    <w:p>
      <w:pPr>
        <w:rPr>
          <w:rFonts w:hint="eastAsia"/>
          <w:lang w:val="en-US" w:eastAsia="zh-CN"/>
        </w:rPr>
      </w:pPr>
      <w:r>
        <w:rPr>
          <w:color w:val="auto"/>
          <w:sz w:val="24"/>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7A"/>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DcwN2EwMzM1N2FkOThmNzZkMjk2ZjY4NzExYWUifQ=="/>
  </w:docVars>
  <w:rsids>
    <w:rsidRoot w:val="1D52210B"/>
    <w:rsid w:val="02E32D4E"/>
    <w:rsid w:val="0D24789A"/>
    <w:rsid w:val="1A790313"/>
    <w:rsid w:val="1D52210B"/>
    <w:rsid w:val="3792662C"/>
    <w:rsid w:val="58494FBA"/>
    <w:rsid w:val="698E10DE"/>
    <w:rsid w:val="6E7F2431"/>
    <w:rsid w:val="78FD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4">
    <w:name w:val="heading 2"/>
    <w:basedOn w:val="1"/>
    <w:next w:val="1"/>
    <w:qFormat/>
    <w:uiPriority w:val="0"/>
    <w:pPr>
      <w:keepNext/>
      <w:keepLines/>
      <w:outlineLvl w:val="1"/>
    </w:pPr>
    <w:rPr>
      <w:rFonts w:ascii="Arial" w:hAnsi="Arial" w:eastAsia="黑体" w:cs="Times New Roman"/>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jc w:val="left"/>
    </w:pPr>
    <w:rPr>
      <w:rFonts w:ascii="宋体" w:hAnsi="宋体"/>
      <w:b/>
      <w:bCs/>
      <w:sz w:val="24"/>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1913</Words>
  <Characters>1980</Characters>
  <Lines>0</Lines>
  <Paragraphs>0</Paragraphs>
  <TotalTime>0</TotalTime>
  <ScaleCrop>false</ScaleCrop>
  <LinksUpToDate>false</LinksUpToDate>
  <CharactersWithSpaces>2965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2022-01-05T06:43:00Z</dcterms:created>
  <dc:creator>忱义</dc:creator>
  <cp:lastModifiedBy> Gentleman</cp:lastModifiedBy>
  <dcterms:modified xsi:type="dcterms:W3CDTF">2022-11-23T08:24:18Z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BE0626A48BFB4498BAEF264CF2DC304C</vt:lpwstr>
  </property>
</Properties>
</file>