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12" w:lineRule="auto"/>
        <w:jc w:val="center"/>
        <w:rPr>
          <w:rFonts w:hint="eastAsia" w:ascii="黑体" w:eastAsia="黑体"/>
          <w:b/>
          <w:bCs/>
          <w:color w:val="auto"/>
          <w:sz w:val="44"/>
          <w:szCs w:val="22"/>
          <w:highlight w:val="none"/>
          <w:lang w:eastAsia="zh-CN"/>
        </w:rPr>
      </w:pPr>
      <w:r>
        <w:rPr>
          <w:rFonts w:hint="eastAsia" w:ascii="黑体" w:eastAsia="黑体"/>
          <w:b/>
          <w:bCs/>
          <w:color w:val="auto"/>
          <w:sz w:val="44"/>
          <w:szCs w:val="22"/>
          <w:highlight w:val="none"/>
          <w:lang w:eastAsia="zh-CN"/>
        </w:rPr>
        <w:t>供货</w:t>
      </w:r>
      <w:r>
        <w:rPr>
          <w:rFonts w:hint="eastAsia" w:ascii="黑体" w:eastAsia="黑体"/>
          <w:b/>
          <w:bCs/>
          <w:color w:val="auto"/>
          <w:sz w:val="44"/>
          <w:szCs w:val="22"/>
          <w:highlight w:val="none"/>
        </w:rPr>
        <w:t>需求一览表及技术</w:t>
      </w:r>
      <w:r>
        <w:rPr>
          <w:rFonts w:hint="eastAsia" w:ascii="黑体" w:eastAsia="黑体"/>
          <w:b/>
          <w:bCs/>
          <w:color w:val="auto"/>
          <w:sz w:val="44"/>
          <w:szCs w:val="22"/>
          <w:highlight w:val="none"/>
          <w:lang w:eastAsia="zh-CN"/>
        </w:rPr>
        <w:t>要求</w:t>
      </w:r>
    </w:p>
    <w:p>
      <w:pPr>
        <w:pStyle w:val="3"/>
        <w:numPr>
          <w:ilvl w:val="0"/>
          <w:numId w:val="0"/>
        </w:num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单位：元</w:t>
      </w:r>
    </w:p>
    <w:tbl>
      <w:tblPr>
        <w:tblStyle w:val="4"/>
        <w:tblW w:w="10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59"/>
        <w:gridCol w:w="525"/>
        <w:gridCol w:w="1906"/>
        <w:gridCol w:w="2033"/>
        <w:gridCol w:w="1514"/>
        <w:gridCol w:w="621"/>
        <w:gridCol w:w="704"/>
        <w:gridCol w:w="666"/>
        <w:gridCol w:w="728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（单价）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（总价）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洁厕剂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洁厕剂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182880</wp:posOffset>
                  </wp:positionV>
                  <wp:extent cx="1011555" cy="1050925"/>
                  <wp:effectExtent l="0" t="0" r="17145" b="15875"/>
                  <wp:wrapNone/>
                  <wp:docPr id="15" name="图片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无刺激气味，PH值：2-3，每桶3-6升，以原液或1：1—1：25比例兑水使用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13195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5.72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2825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皂粉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皂粉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45720</wp:posOffset>
                  </wp:positionV>
                  <wp:extent cx="939800" cy="888365"/>
                  <wp:effectExtent l="0" t="0" r="12700" b="6985"/>
                  <wp:wrapNone/>
                  <wp:docPr id="14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PH值为8-10，配比为1:100，低泡，易漂洗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312420</wp:posOffset>
                  </wp:positionV>
                  <wp:extent cx="939165" cy="1017905"/>
                  <wp:effectExtent l="0" t="0" r="13335" b="10795"/>
                  <wp:wrapNone/>
                  <wp:docPr id="13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低泡，清洁力强，100%可降解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五洁粉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五洁粉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149225</wp:posOffset>
                  </wp:positionV>
                  <wp:extent cx="1063625" cy="1096010"/>
                  <wp:effectExtent l="0" t="0" r="3175" b="8890"/>
                  <wp:wrapNone/>
                  <wp:docPr id="11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低泡，清洁能力强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动力与维修中心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288925</wp:posOffset>
                  </wp:positionV>
                  <wp:extent cx="1095375" cy="1919605"/>
                  <wp:effectExtent l="0" t="0" r="9525" b="4445"/>
                  <wp:wrapNone/>
                  <wp:docPr id="1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91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不分层，无悬浮物，沉淀，无明显杂质，透明液体，总活性含量≥10.0，PH值4.0-10.5，不得检出荧光增白剂，甲醛≤0.1，甲醇≤1，砷≤0.05，重金属≤1，菌落总数≤1000，大肠菌群≤3，去污力不小于标准餐具洗涤剂，中性全能洗涤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（提供检测报告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机用餐具洗涤剂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机用餐具洗涤剂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360680</wp:posOffset>
                  </wp:positionV>
                  <wp:extent cx="973455" cy="994410"/>
                  <wp:effectExtent l="0" t="0" r="17145" b="15240"/>
                  <wp:wrapNone/>
                  <wp:docPr id="10" name="图片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产品不分层，不浑浊，不改变气味，透明浅黄色液体，总碱度≥5﹪，总活性物含量≥5﹪，砷≤0.05，重金属≤1，甲醛≤0.1，甲醇≤1，不得检出荧光增白剂，菌落总数≤1000，洗碗机专用，大肠菌群≤3，低泡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（提供检测报告）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172720</wp:posOffset>
                  </wp:positionV>
                  <wp:extent cx="911860" cy="845185"/>
                  <wp:effectExtent l="0" t="0" r="2540" b="12065"/>
                  <wp:wrapNone/>
                  <wp:docPr id="9" name="图片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无刺激性气味，PH值：6-7，建议原液使用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公寓中心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984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4784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5.17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24733.28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3800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全能清洁剂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中性配方 3.8L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4.95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通渠粉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通渠粉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强碱性 超浓缩 易溶 易清洗 不含磷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物业中心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val="en-US" w:eastAsia="zh-CN" w:bidi="ar"/>
              </w:rPr>
              <w:t>全能清洁剂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val="en-US" w:eastAsia="zh-CN" w:bidi="ar"/>
              </w:rPr>
              <w:t>全能清洁剂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洗地机使用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轻污表面：1份清洁剂兑128份水。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中等污垢：1份清洁剂兑64份水。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重污表面：1份清洁剂兑32份水。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val="en-US" w:eastAsia="zh-CN" w:bidi="ar"/>
              </w:rPr>
              <w:t>化泡剂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sz w:val="18"/>
                <w:szCs w:val="18"/>
                <w:highlight w:val="none"/>
                <w:lang w:val="en-US" w:eastAsia="zh-CN" w:bidi="ar"/>
              </w:rPr>
              <w:t>化泡剂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  <w:lang w:val="en-US" w:eastAsia="zh-CN"/>
              </w:rPr>
            </w:pPr>
            <w:r>
              <w:rPr>
                <w:highlight w:val="none"/>
                <w:lang w:val="en-US" w:eastAsia="zh-CN"/>
              </w:rPr>
              <w:t>清洗机使用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能够迅速消除地毯清洁剂泡沫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活动中心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餐具催干剂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餐具催干剂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277495</wp:posOffset>
                  </wp:positionV>
                  <wp:extent cx="838835" cy="857250"/>
                  <wp:effectExtent l="0" t="0" r="18415" b="0"/>
                  <wp:wrapNone/>
                  <wp:docPr id="16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透明浅黄色液体，总碱度≥5﹪，总活性物含量≥5﹪，砷≤0.05，重金属≤1，甲醛≤0.1，甲醇≤1，不得检出荧光增白剂，菌落总数≤1000，洗碗机专用，大肠菌群≤3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（提供检测报告）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化学名称：氢氧化钠，食品级，≥99﹪提供符合国标的质检报告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（提供检测报告）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饮食中心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8.58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349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合计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349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511094.98</w:t>
            </w:r>
          </w:p>
        </w:tc>
      </w:tr>
    </w:tbl>
    <w:p>
      <w:pPr>
        <w:snapToGrid w:val="0"/>
        <w:spacing w:line="360" w:lineRule="auto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eastAsia="zh-CN"/>
        </w:rPr>
        <w:t>注：</w:t>
      </w: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1、</w:t>
      </w: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eastAsia="zh-CN"/>
        </w:rPr>
        <w:t>响应报价不得超过控制总价及单价，否则其响应无效。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2、本项目非一次性供货，供应商须根据采购人实际使用需求，</w:t>
      </w:r>
      <w:bookmarkStart w:id="0" w:name="_GoBack"/>
      <w:bookmarkEnd w:id="0"/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采用随用随供的形式分批次进行供货。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3、以上预算仅供参考，受疫情等其他不可抗力因素影响，供货数量可能会比计划数量增加或减少，最终供货及结算以实际发生为准。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4. 以上货品均需留样，评审现场需按上表标注的每个单位数量或单位包装（液体或粉末样货品）提供样品，成交供应商的样品不予返还，成交后需按每项货品的需求按需求单位数量补齐样品（例如：洁厕剂</w:t>
      </w:r>
      <w:r>
        <w:rPr>
          <w:rFonts w:hint="eastAsia" w:ascii="黑体" w:eastAsia="黑体" w:cs="Times New Roman"/>
          <w:b w:val="0"/>
          <w:bCs w:val="0"/>
          <w:i w:val="0"/>
          <w:iCs w:val="0"/>
          <w:color w:val="auto"/>
          <w:kern w:val="0"/>
          <w:sz w:val="28"/>
          <w:szCs w:val="13"/>
          <w:highlight w:val="none"/>
          <w:u w:val="none"/>
          <w:lang w:val="en-US" w:eastAsia="zh-CN" w:bidi="ar"/>
        </w:rPr>
        <w:t>的需求单位有</w:t>
      </w:r>
      <w:r>
        <w:rPr>
          <w:rFonts w:hint="eastAsia" w:ascii="黑体" w:hAnsi="Times New Roman" w:eastAsia="黑体" w:cs="Times New Roman"/>
          <w:b w:val="0"/>
          <w:bCs w:val="0"/>
          <w:i w:val="0"/>
          <w:iCs w:val="0"/>
          <w:color w:val="auto"/>
          <w:kern w:val="0"/>
          <w:sz w:val="28"/>
          <w:szCs w:val="13"/>
          <w:highlight w:val="none"/>
          <w:u w:val="none"/>
          <w:lang w:val="en-US" w:eastAsia="zh-CN" w:bidi="ar"/>
        </w:rPr>
        <w:t>饮食中心、公寓中心、物业中心、动力与维修中心</w:t>
      </w:r>
      <w:r>
        <w:rPr>
          <w:rFonts w:hint="eastAsia" w:ascii="黑体" w:eastAsia="黑体" w:cs="Times New Roman"/>
          <w:b w:val="0"/>
          <w:bCs w:val="0"/>
          <w:i w:val="0"/>
          <w:iCs w:val="0"/>
          <w:color w:val="auto"/>
          <w:kern w:val="0"/>
          <w:sz w:val="28"/>
          <w:szCs w:val="13"/>
          <w:highlight w:val="none"/>
          <w:u w:val="none"/>
          <w:lang w:val="en-US" w:eastAsia="zh-CN" w:bidi="ar"/>
        </w:rPr>
        <w:t>共4个单位，供应商除评审现场提供的1个样品，另需补齐3个样品以给上述4家单位留存</w:t>
      </w: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）。未中标供应商提供的样品在公示期结束后予以返还。成交供应商须按留样样品进行供货，未按样品供货的，采购人有权拒绝。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5.“规格参数”中标明检测报告字样的（洗涤剂、机用餐具洗涤剂、餐具催干剂），检测报告原件需与样品一同送达评审现场，复印件需装订至响应文件内。</w:t>
      </w:r>
    </w:p>
    <w:p>
      <w:pPr>
        <w:snapToGrid w:val="0"/>
        <w:spacing w:line="360" w:lineRule="auto"/>
        <w:ind w:firstLine="560" w:firstLineChars="200"/>
        <w:jc w:val="both"/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8"/>
          <w:szCs w:val="13"/>
          <w:highlight w:val="none"/>
          <w:lang w:val="en-US" w:eastAsia="zh-CN"/>
        </w:rPr>
        <w:t>6. 以上内容如未能按要求提供，则视为无效响应。</w:t>
      </w:r>
    </w:p>
    <w:p>
      <w:pPr>
        <w:snapToGrid w:val="0"/>
        <w:spacing w:line="360" w:lineRule="auto"/>
        <w:jc w:val="center"/>
        <w:rPr>
          <w:rFonts w:hint="eastAsia" w:ascii="黑体" w:eastAsia="黑体"/>
          <w:b/>
          <w:bCs/>
          <w:color w:val="auto"/>
          <w:sz w:val="4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65F05"/>
    <w:rsid w:val="2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/>
      <w:jc w:val="left"/>
    </w:pPr>
    <w:rPr>
      <w:rFonts w:ascii="宋体" w:hAnsi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2022-01-05T06:44:00Z</dcterms:created>
  <dc:creator>忱义</dc:creator>
  <cp:lastModifiedBy>忱义</cp:lastModifiedBy>
  <dcterms:modified xsi:type="dcterms:W3CDTF">2022-01-05T06:45:31Z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849DCADD79EC4803AFEF15B46864D11B</vt:lpwstr>
  </property>
</Properties>
</file>