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3" w:firstLineChars="300"/>
        <w:jc w:val="center"/>
        <w:rPr>
          <w:b/>
          <w:bCs/>
          <w:sz w:val="28"/>
          <w:szCs w:val="28"/>
          <w:highlight w:val="none"/>
        </w:rPr>
      </w:pPr>
      <w:r>
        <w:rPr>
          <w:rFonts w:hint="eastAsia"/>
          <w:b/>
          <w:bCs/>
          <w:sz w:val="28"/>
          <w:szCs w:val="28"/>
          <w:highlight w:val="none"/>
        </w:rPr>
        <w:t>空调租赁服务项目采购需求</w:t>
      </w:r>
    </w:p>
    <w:p>
      <w:pPr>
        <w:numPr>
          <w:ilvl w:val="0"/>
          <w:numId w:val="1"/>
        </w:numPr>
        <w:spacing w:line="360" w:lineRule="auto"/>
        <w:rPr>
          <w:rFonts w:ascii="宋体" w:hAnsi="宋体" w:cs="宋体"/>
          <w:b/>
          <w:bCs/>
          <w:sz w:val="24"/>
          <w:highlight w:val="none"/>
        </w:rPr>
      </w:pPr>
      <w:r>
        <w:rPr>
          <w:rFonts w:hint="eastAsia" w:ascii="宋体" w:hAnsi="宋体" w:cs="宋体"/>
          <w:b/>
          <w:bCs/>
          <w:sz w:val="24"/>
          <w:highlight w:val="none"/>
        </w:rPr>
        <w:t>项目概况</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全校所有公寓楼宇租赁空调全面覆盖。中标方中标后，首先按照招标方要求的地点完成全校内1700台全新空调的安装（该批空调为固定使用，不可拆除或迁移，也为租赁方式），后续其它公寓按学生实际租赁情况，继续新增空调，安装的所有空调按照中标文件的规定向租赁方收取租赁费。空调技术规格：正1.5匹壁挂分体式冷暖空调。</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服务期限：</w:t>
      </w:r>
      <w:r>
        <w:rPr>
          <w:rFonts w:hint="eastAsia" w:ascii="宋体" w:hAnsi="宋体" w:cs="宋体"/>
          <w:sz w:val="24"/>
          <w:highlight w:val="none"/>
          <w:lang w:val="en-US" w:eastAsia="zh-CN"/>
        </w:rPr>
        <w:t>8</w:t>
      </w:r>
      <w:r>
        <w:rPr>
          <w:rFonts w:hint="eastAsia" w:ascii="宋体" w:hAnsi="宋体" w:cs="宋体"/>
          <w:sz w:val="24"/>
          <w:highlight w:val="none"/>
        </w:rPr>
        <w:t>年。</w:t>
      </w:r>
    </w:p>
    <w:p>
      <w:pPr>
        <w:numPr>
          <w:ilvl w:val="0"/>
          <w:numId w:val="1"/>
        </w:numPr>
        <w:spacing w:line="360" w:lineRule="auto"/>
        <w:rPr>
          <w:rFonts w:ascii="宋体" w:hAnsi="宋体" w:cs="宋体"/>
          <w:b/>
          <w:bCs/>
          <w:sz w:val="24"/>
          <w:highlight w:val="none"/>
        </w:rPr>
      </w:pPr>
      <w:r>
        <w:rPr>
          <w:rFonts w:hint="eastAsia" w:ascii="宋体" w:hAnsi="宋体" w:cs="宋体"/>
          <w:b/>
          <w:bCs/>
          <w:sz w:val="24"/>
          <w:highlight w:val="none"/>
        </w:rPr>
        <w:t>空调租赁服务相关规定</w:t>
      </w:r>
      <w:bookmarkStart w:id="5" w:name="_GoBack"/>
      <w:bookmarkEnd w:id="5"/>
    </w:p>
    <w:p>
      <w:pPr>
        <w:spacing w:line="360" w:lineRule="auto"/>
        <w:ind w:firstLine="480" w:firstLineChars="200"/>
        <w:rPr>
          <w:rFonts w:ascii="宋体" w:hAnsi="宋体" w:cs="宋体"/>
          <w:sz w:val="24"/>
          <w:highlight w:val="none"/>
        </w:rPr>
      </w:pPr>
      <w:r>
        <w:rPr>
          <w:rFonts w:hint="eastAsia" w:ascii="宋体" w:hAnsi="宋体" w:cs="宋体"/>
          <w:sz w:val="24"/>
          <w:highlight w:val="none"/>
        </w:rPr>
        <w:t>1）租赁单位：以寝室为单位，1间寝室为1个租赁单位，由所住学生集体申请；</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2）收费标准：以1台/1学年/1间寝室为1个计费单位；</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3）租赁期限：以年为单位，</w:t>
      </w:r>
      <w:r>
        <w:rPr>
          <w:rFonts w:hint="eastAsia" w:ascii="宋体" w:hAnsi="宋体" w:cs="宋体"/>
          <w:sz w:val="24"/>
          <w:highlight w:val="none"/>
          <w:lang w:val="en-US" w:eastAsia="zh-CN"/>
        </w:rPr>
        <w:t>不足一年按照一年计算。</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4）成交人投放的空调必须是未拆封的全新物联网智能空调，可远程控制空调开关和温度，后台可监控空调设备，可实现故障提醒、智能报修；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5）合同期内使用的空调保证正常运行；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6）学生自愿租赁，可根据实际情况选择；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7）押金收取：</w:t>
      </w:r>
      <w:r>
        <w:rPr>
          <w:rFonts w:hint="eastAsia" w:ascii="宋体" w:hAnsi="宋体" w:cs="宋体"/>
          <w:color w:val="FF0000"/>
          <w:sz w:val="24"/>
          <w:highlight w:val="none"/>
        </w:rPr>
        <w:t>成交人对申请空调租赁服务的学生收取空调设备押金</w:t>
      </w:r>
      <w:r>
        <w:rPr>
          <w:rFonts w:hint="eastAsia" w:ascii="宋体" w:hAnsi="宋体" w:cs="宋体"/>
          <w:color w:val="FF0000"/>
          <w:sz w:val="24"/>
          <w:highlight w:val="none"/>
          <w:lang w:val="en-US" w:eastAsia="zh-CN"/>
        </w:rPr>
        <w:t>15</w:t>
      </w:r>
      <w:r>
        <w:rPr>
          <w:rFonts w:hint="eastAsia" w:ascii="宋体" w:hAnsi="宋体" w:cs="宋体"/>
          <w:color w:val="FF0000"/>
          <w:sz w:val="24"/>
          <w:highlight w:val="none"/>
        </w:rPr>
        <w:t>00元，</w:t>
      </w:r>
      <w:r>
        <w:rPr>
          <w:rFonts w:hint="eastAsia" w:ascii="宋体" w:hAnsi="宋体" w:cs="宋体"/>
          <w:color w:val="FF0000"/>
          <w:sz w:val="24"/>
          <w:highlight w:val="none"/>
          <w:lang w:eastAsia="zh-CN"/>
        </w:rPr>
        <w:t>遥控器押金</w:t>
      </w:r>
      <w:r>
        <w:rPr>
          <w:rFonts w:hint="eastAsia" w:ascii="宋体" w:hAnsi="宋体" w:cs="宋体"/>
          <w:color w:val="FF0000"/>
          <w:sz w:val="24"/>
          <w:highlight w:val="none"/>
          <w:lang w:val="en-US" w:eastAsia="zh-CN"/>
        </w:rPr>
        <w:t>80元，</w:t>
      </w:r>
      <w:r>
        <w:rPr>
          <w:rFonts w:hint="eastAsia" w:ascii="宋体" w:hAnsi="宋体" w:cs="宋体"/>
          <w:sz w:val="24"/>
          <w:highlight w:val="none"/>
        </w:rPr>
        <w:t>租赁期满，按实际租赁时间（以年为单位）从押金中扣除租赁服务费，余款无息退还；</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8）双方签订合作协议后，成交人应根据采购人要求受理学生申请及实施空调安装及租赁运行服务；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9）空调技术规格：投标方负责向学生公寓投放的产品，须为国内著名品牌（格力，美的，海尔或不低于同档次的产品），空调技术规格：正1.5匹壁挂分体式冷暖空调；制冷量≥3500W；制热量≥4200W;具备辅助电加热功能；能效等级变频2级或以上等级；室内机噪声限值（高风档）≤38dB(A)，室外机噪声限值≤51dB(A)。</w:t>
      </w:r>
    </w:p>
    <w:p>
      <w:pPr>
        <w:numPr>
          <w:ilvl w:val="0"/>
          <w:numId w:val="1"/>
        </w:numPr>
        <w:spacing w:line="360" w:lineRule="auto"/>
        <w:rPr>
          <w:rFonts w:ascii="宋体" w:hAnsi="宋体" w:cs="宋体"/>
          <w:b/>
          <w:bCs/>
          <w:sz w:val="24"/>
          <w:highlight w:val="none"/>
        </w:rPr>
      </w:pPr>
      <w:r>
        <w:rPr>
          <w:rFonts w:hint="eastAsia" w:ascii="宋体" w:hAnsi="宋体" w:cs="宋体"/>
          <w:b/>
          <w:bCs/>
          <w:sz w:val="24"/>
          <w:highlight w:val="none"/>
        </w:rPr>
        <w:t>安装、维修、保养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1）租赁协议有效期内，成交人负责空调采购、安装、维护、清洗等所需的全部费用，并作出服务承诺：接到学生申请后，一周内安装到指定寝室，至少每学期清洁维护1次，报修</w:t>
      </w:r>
      <w:r>
        <w:rPr>
          <w:rFonts w:hint="eastAsia" w:ascii="宋体" w:hAnsi="宋体" w:cs="宋体"/>
          <w:sz w:val="24"/>
          <w:highlight w:val="none"/>
          <w:lang w:val="en-US" w:eastAsia="zh-CN"/>
        </w:rPr>
        <w:t>10分钟</w:t>
      </w:r>
      <w:r>
        <w:rPr>
          <w:rFonts w:hint="eastAsia" w:ascii="宋体" w:hAnsi="宋体" w:cs="宋体"/>
          <w:sz w:val="24"/>
          <w:highlight w:val="none"/>
        </w:rPr>
        <w:t>内响应，24小时内修复，当空调无法48小时内修复时，更换空调确保使用；</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2）学生租赁期满后，如不再需要租赁空调，成交人应及时移除寝室内空调设备，并做好墙面复原等相关工作，因采购人要求的寝室调整引起的租赁空调移机，费用由成交人负责，特殊情况由双方协商解决；</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3）电费收取：空调设备使用的电费由租赁学生自行承担。</w:t>
      </w:r>
    </w:p>
    <w:p>
      <w:pPr>
        <w:numPr>
          <w:ilvl w:val="0"/>
          <w:numId w:val="1"/>
        </w:numPr>
        <w:spacing w:line="360" w:lineRule="auto"/>
        <w:rPr>
          <w:rFonts w:ascii="宋体" w:hAnsi="宋体" w:cs="宋体"/>
          <w:b/>
          <w:bCs/>
          <w:sz w:val="24"/>
          <w:highlight w:val="none"/>
        </w:rPr>
      </w:pPr>
      <w:r>
        <w:rPr>
          <w:rFonts w:hint="eastAsia" w:ascii="宋体" w:hAnsi="宋体" w:cs="宋体"/>
          <w:b/>
          <w:bCs/>
          <w:sz w:val="24"/>
          <w:highlight w:val="none"/>
        </w:rPr>
        <w:t>其它</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1）若非空调厂家响应，响应文件中须承诺成交后提供空调厂家针对空调租赁服务项目的授权；</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2）成交人负责现场安装指导及调试时服从采购人管理，如安装中损坏公寓设施，成交人需给予修复或赔偿；</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3）安装完成时间：在与租用空调学生代表签订租赁协议后一周内安装完成，如在规定的时间内由于成交人的原因不能完成安装和调试，成交人应承担由此给租用空调学生造成的损失；</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4）安装标准：符合我国国家有关技术规范要求和技术标准；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5）付款方式：与租用空调学生代表签订租赁服务协议，向租用空调学生收取空调押金；</w:t>
      </w:r>
    </w:p>
    <w:p>
      <w:pPr>
        <w:spacing w:line="360" w:lineRule="auto"/>
        <w:rPr>
          <w:rFonts w:hint="eastAsia" w:ascii="宋体" w:hAnsi="宋体"/>
          <w:b/>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提醒注意：</w:t>
      </w:r>
    </w:p>
    <w:p>
      <w:pPr>
        <w:spacing w:line="360" w:lineRule="auto"/>
        <w:ind w:firstLine="480" w:firstLineChars="200"/>
        <w:rPr>
          <w:rFonts w:hint="eastAsia" w:ascii="宋体" w:hAnsi="宋体"/>
          <w:b/>
          <w:color w:val="auto"/>
          <w:sz w:val="24"/>
          <w:highlight w:val="none"/>
          <w:shd w:val="pct10" w:color="auto" w:fill="FFFFFF"/>
        </w:rPr>
      </w:pPr>
      <w:r>
        <w:rPr>
          <w:rFonts w:hint="eastAsia" w:ascii="宋体" w:hAnsi="宋体"/>
          <w:color w:val="auto"/>
          <w:sz w:val="24"/>
          <w:highlight w:val="none"/>
        </w:rPr>
        <w:t>★</w:t>
      </w:r>
      <w:r>
        <w:rPr>
          <w:rFonts w:hint="eastAsia" w:ascii="宋体" w:hAnsi="宋体"/>
          <w:b/>
          <w:color w:val="auto"/>
          <w:sz w:val="24"/>
          <w:highlight w:val="none"/>
        </w:rPr>
        <w:t>1、</w:t>
      </w:r>
      <w:r>
        <w:rPr>
          <w:rFonts w:hint="eastAsia" w:ascii="宋体" w:hAnsi="宋体"/>
          <w:b/>
          <w:bCs/>
          <w:color w:val="auto"/>
          <w:sz w:val="24"/>
          <w:highlight w:val="none"/>
        </w:rPr>
        <w:t>以上采购需求不指向任何一种品牌或供应商。</w:t>
      </w:r>
    </w:p>
    <w:p>
      <w:pPr>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 xml:space="preserve"> 2、供应商应按己方所投标货物的实际技术参数填写，如经评标委员会发现未</w:t>
      </w:r>
      <w:r>
        <w:rPr>
          <w:rFonts w:hint="eastAsia" w:ascii="宋体" w:hAnsi="宋体"/>
          <w:bCs/>
          <w:color w:val="auto"/>
          <w:sz w:val="24"/>
          <w:highlight w:val="none"/>
        </w:rPr>
        <w:t>按所投产品品牌的实际技术参数进行应答，而是完全复制招标文件的技术参数，与所投品牌的实际技术参数不符的，</w:t>
      </w:r>
      <w:r>
        <w:rPr>
          <w:rFonts w:hint="eastAsia" w:ascii="宋体" w:hAnsi="宋体"/>
          <w:b/>
          <w:color w:val="auto"/>
          <w:sz w:val="24"/>
          <w:highlight w:val="none"/>
        </w:rPr>
        <w:t>按投标无效处理</w:t>
      </w:r>
      <w:r>
        <w:rPr>
          <w:rFonts w:hint="eastAsia" w:ascii="宋体" w:hAnsi="宋体"/>
          <w:bCs/>
          <w:color w:val="auto"/>
          <w:sz w:val="24"/>
          <w:highlight w:val="none"/>
        </w:rPr>
        <w:t>。</w:t>
      </w:r>
      <w:r>
        <w:rPr>
          <w:rFonts w:hint="eastAsia" w:ascii="宋体" w:hAnsi="宋体"/>
          <w:color w:val="auto"/>
          <w:sz w:val="24"/>
          <w:highlight w:val="none"/>
        </w:rPr>
        <w:t>技术偏离表中</w:t>
      </w:r>
      <w:r>
        <w:rPr>
          <w:rFonts w:hint="eastAsia" w:ascii="宋体" w:hAnsi="宋体" w:cs="宋体"/>
          <w:color w:val="auto"/>
          <w:kern w:val="0"/>
          <w:sz w:val="24"/>
          <w:highlight w:val="none"/>
        </w:rPr>
        <w:t>“投标文件响应情况”应如实填写，并与“招标文件技术要求”一一对应，如响应技术条款优于招标文件要求，填写“正偏离”，如简单填写“响应”或“完全响应”投标无效。</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供应商应注意采购文件的采购需求中指出的工艺、材料、软件和设备的参照品牌或型号仅起说明作用，并没有任何限制性。供应商在采购活动中可以选用替代标准、品牌或型号，但这些替代要实质上满足或优于采购文件的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根据</w:t>
      </w:r>
      <w:r>
        <w:rPr>
          <w:rFonts w:hint="eastAsia" w:ascii="宋体" w:hAnsi="宋体"/>
          <w:color w:val="auto"/>
          <w:sz w:val="24"/>
          <w:highlight w:val="none"/>
        </w:rPr>
        <w:t>《</w:t>
      </w:r>
      <w:r>
        <w:rPr>
          <w:rFonts w:hint="eastAsia" w:ascii="宋体" w:hAnsi="宋体"/>
          <w:bCs/>
          <w:color w:val="auto"/>
          <w:sz w:val="24"/>
          <w:highlight w:val="none"/>
        </w:rPr>
        <w:t>财政部 发展改革委 生态环境部 市场监管总局 关于调整优化节能产品、环境标志产品政府采购执行机制的通知</w:t>
      </w:r>
      <w:r>
        <w:rPr>
          <w:rFonts w:hint="eastAsia" w:ascii="宋体" w:hAnsi="宋体"/>
          <w:color w:val="auto"/>
          <w:sz w:val="24"/>
          <w:highlight w:val="none"/>
        </w:rPr>
        <w:t>》（财库〔2019〕9号）、《市场监管总局关于发布参与实施政府采购节能产品、环境标志产品认证机构名录的公告》（2021年第16号）等</w:t>
      </w:r>
      <w:r>
        <w:rPr>
          <w:rFonts w:ascii="宋体" w:hAnsi="宋体"/>
          <w:color w:val="auto"/>
          <w:sz w:val="24"/>
          <w:highlight w:val="none"/>
        </w:rPr>
        <w:t>文件</w:t>
      </w:r>
      <w:r>
        <w:rPr>
          <w:rFonts w:hint="eastAsia" w:ascii="宋体" w:hAnsi="宋体"/>
          <w:color w:val="auto"/>
          <w:sz w:val="24"/>
          <w:highlight w:val="none"/>
        </w:rPr>
        <w:t>的相关</w:t>
      </w:r>
      <w:r>
        <w:rPr>
          <w:rFonts w:ascii="宋体" w:hAnsi="宋体"/>
          <w:color w:val="auto"/>
          <w:sz w:val="24"/>
          <w:highlight w:val="none"/>
        </w:rPr>
        <w:t>规定</w:t>
      </w:r>
      <w:r>
        <w:rPr>
          <w:rFonts w:hint="eastAsia" w:ascii="宋体" w:hAnsi="宋体"/>
          <w:color w:val="auto"/>
          <w:sz w:val="24"/>
          <w:highlight w:val="none"/>
        </w:rPr>
        <w:t>，供应商所投产品属于符合上述条件的认证机构认证的产品（以下简称“经认证产品”）且产品型号须完全一致，投标文件中须附符合上述文件规定的认证证书，并在投标文件目录中予以标明，目录未标明的视为未提供。</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5、采购人所采购的产品属于国家有关安全、节能、环保等强制性标准时，供应商所投产品必须同时满足强制标准和本项目采购要求，且须在投标文件中按前款规定要求标明并提供认证证书。</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6、信息安全产品，需提供由中国信息安全认证中心按国家标准认证颁发的有效认证证书，应符合《关于信息安全产品实施政府采购的通知》（财库【2010】48号）要求。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7、报价产品的各项技术指标不能低于国家强制性标准，否则</w:t>
      </w:r>
      <w:r>
        <w:rPr>
          <w:rFonts w:hint="eastAsia" w:ascii="宋体" w:hAnsi="宋体" w:cs="宋体"/>
          <w:color w:val="auto"/>
          <w:kern w:val="0"/>
          <w:sz w:val="24"/>
          <w:highlight w:val="none"/>
        </w:rPr>
        <w:t>投标无效</w:t>
      </w:r>
      <w:r>
        <w:rPr>
          <w:rFonts w:hint="eastAsia" w:ascii="宋体" w:hAnsi="宋体"/>
          <w:color w:val="auto"/>
          <w:sz w:val="24"/>
          <w:highlight w:val="none"/>
        </w:rPr>
        <w:t>。</w:t>
      </w:r>
    </w:p>
    <w:p>
      <w:pPr>
        <w:pStyle w:val="3"/>
        <w:spacing w:line="360" w:lineRule="auto"/>
        <w:rPr>
          <w:rFonts w:hint="eastAsia"/>
          <w:color w:val="auto"/>
          <w:highlight w:val="none"/>
        </w:rPr>
      </w:pPr>
      <w:bookmarkStart w:id="0" w:name="_Toc351466512"/>
      <w:bookmarkStart w:id="1" w:name="_Toc65593627"/>
      <w:r>
        <w:rPr>
          <w:rFonts w:hint="eastAsia"/>
          <w:color w:val="auto"/>
          <w:highlight w:val="none"/>
        </w:rPr>
        <w:t>供应商应提供以下资格证明文件</w:t>
      </w:r>
      <w:bookmarkEnd w:id="0"/>
      <w:bookmarkEnd w:id="1"/>
    </w:p>
    <w:p>
      <w:pPr>
        <w:widowControl/>
        <w:spacing w:line="360" w:lineRule="auto"/>
        <w:ind w:firstLine="480"/>
        <w:rPr>
          <w:rFonts w:hint="eastAsia" w:ascii="宋体" w:hAnsi="宋体" w:cs="宋体"/>
          <w:color w:val="auto"/>
          <w:kern w:val="0"/>
          <w:sz w:val="24"/>
          <w:highlight w:val="none"/>
        </w:rPr>
      </w:pPr>
      <w:r>
        <w:rPr>
          <w:rFonts w:hint="eastAsia" w:ascii="宋体" w:hAnsi="宋体"/>
          <w:color w:val="auto"/>
          <w:sz w:val="24"/>
          <w:highlight w:val="none"/>
        </w:rPr>
        <w:t>1</w:t>
      </w:r>
      <w:r>
        <w:rPr>
          <w:rFonts w:hint="eastAsia" w:ascii="MS Mincho" w:hAnsi="MS Mincho" w:cs="MS Mincho"/>
          <w:color w:val="auto"/>
          <w:sz w:val="24"/>
          <w:highlight w:val="none"/>
        </w:rPr>
        <w:t>★</w:t>
      </w:r>
      <w:r>
        <w:rPr>
          <w:rFonts w:hint="eastAsia" w:ascii="宋体" w:hAnsi="宋体" w:cs="宋体"/>
          <w:color w:val="auto"/>
          <w:kern w:val="0"/>
          <w:sz w:val="24"/>
          <w:highlight w:val="none"/>
        </w:rPr>
        <w:t>法人授权委托书（按招标文件要求格式签署）；</w:t>
      </w:r>
    </w:p>
    <w:p>
      <w:pPr>
        <w:widowControl/>
        <w:spacing w:line="360" w:lineRule="auto"/>
        <w:ind w:firstLine="480"/>
        <w:rPr>
          <w:rFonts w:ascii="宋体" w:hAnsi="宋体" w:cs="宋体"/>
          <w:color w:val="auto"/>
          <w:kern w:val="0"/>
          <w:sz w:val="24"/>
          <w:highlight w:val="none"/>
        </w:rPr>
      </w:pPr>
      <w:r>
        <w:rPr>
          <w:rFonts w:hint="eastAsia" w:ascii="宋体" w:hAnsi="宋体"/>
          <w:color w:val="auto"/>
          <w:sz w:val="24"/>
          <w:highlight w:val="none"/>
        </w:rPr>
        <w:t>2</w:t>
      </w:r>
      <w:r>
        <w:rPr>
          <w:rFonts w:hint="eastAsia" w:ascii="MS Mincho" w:hAnsi="MS Mincho" w:cs="MS Mincho"/>
          <w:color w:val="auto"/>
          <w:sz w:val="24"/>
          <w:highlight w:val="none"/>
        </w:rPr>
        <w:t>★</w:t>
      </w:r>
      <w:r>
        <w:rPr>
          <w:rFonts w:hint="eastAsia" w:ascii="宋体" w:hAnsi="宋体" w:cs="宋体"/>
          <w:color w:val="auto"/>
          <w:kern w:val="0"/>
          <w:sz w:val="24"/>
          <w:highlight w:val="none"/>
        </w:rPr>
        <w:t>被授权人身份证；</w:t>
      </w:r>
    </w:p>
    <w:p>
      <w:pPr>
        <w:widowControl/>
        <w:spacing w:line="360" w:lineRule="auto"/>
        <w:ind w:firstLine="480"/>
        <w:rPr>
          <w:rFonts w:ascii="宋体" w:hAnsi="宋体"/>
          <w:color w:val="auto"/>
          <w:sz w:val="24"/>
          <w:highlight w:val="none"/>
        </w:rPr>
      </w:pPr>
      <w:r>
        <w:rPr>
          <w:rFonts w:hint="eastAsia" w:ascii="宋体" w:hAnsi="宋体" w:cs="宋体"/>
          <w:color w:val="auto"/>
          <w:kern w:val="0"/>
          <w:sz w:val="24"/>
          <w:highlight w:val="none"/>
        </w:rPr>
        <w:t>3</w:t>
      </w:r>
      <w:r>
        <w:rPr>
          <w:rFonts w:hint="eastAsia" w:ascii="MS Mincho" w:hAnsi="MS Mincho" w:cs="MS Mincho"/>
          <w:color w:val="auto"/>
          <w:sz w:val="24"/>
          <w:highlight w:val="none"/>
        </w:rPr>
        <w:t>★</w:t>
      </w:r>
      <w:r>
        <w:rPr>
          <w:rFonts w:hint="eastAsia" w:ascii="宋体" w:hAnsi="宋体" w:cs="宋体"/>
          <w:color w:val="auto"/>
          <w:kern w:val="0"/>
          <w:sz w:val="24"/>
          <w:highlight w:val="none"/>
        </w:rPr>
        <w:t>法定代表人身份证（如报名人为法定代表人，须提供本人的身份证）；</w:t>
      </w:r>
    </w:p>
    <w:p>
      <w:pPr>
        <w:tabs>
          <w:tab w:val="left" w:pos="148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hint="eastAsia" w:ascii="MS Mincho" w:hAnsi="MS Mincho" w:cs="MS Mincho"/>
          <w:color w:val="auto"/>
          <w:sz w:val="24"/>
          <w:highlight w:val="none"/>
        </w:rPr>
        <w:t>★</w:t>
      </w:r>
      <w:r>
        <w:rPr>
          <w:rFonts w:hint="eastAsia" w:ascii="宋体" w:hAnsi="宋体"/>
          <w:color w:val="auto"/>
          <w:sz w:val="24"/>
          <w:highlight w:val="none"/>
        </w:rPr>
        <w:t>营业执照；</w:t>
      </w:r>
      <w:r>
        <w:rPr>
          <w:rFonts w:hint="eastAsia" w:ascii="宋体" w:hAnsi="宋体"/>
          <w:color w:val="auto"/>
          <w:sz w:val="24"/>
          <w:highlight w:val="none"/>
        </w:rPr>
        <w:tab/>
      </w:r>
    </w:p>
    <w:p>
      <w:pPr>
        <w:widowControl/>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 w:val="24"/>
          <w:highlight w:val="none"/>
        </w:rPr>
        <w:t>5</w:t>
      </w:r>
      <w:r>
        <w:rPr>
          <w:rFonts w:hint="eastAsia" w:ascii="MS Mincho" w:hAnsi="MS Mincho" w:cs="MS Mincho"/>
          <w:color w:val="auto"/>
          <w:sz w:val="24"/>
          <w:highlight w:val="none"/>
        </w:rPr>
        <w:t>★</w:t>
      </w:r>
      <w:r>
        <w:rPr>
          <w:rFonts w:hint="eastAsia" w:ascii="宋体" w:hAnsi="宋体" w:cs="宋体"/>
          <w:color w:val="auto"/>
          <w:kern w:val="0"/>
          <w:sz w:val="24"/>
          <w:highlight w:val="none"/>
        </w:rPr>
        <w:t>基本账户开户许可证或基本存款账户信息单；</w:t>
      </w:r>
    </w:p>
    <w:p>
      <w:pPr>
        <w:pStyle w:val="3"/>
        <w:spacing w:line="360" w:lineRule="auto"/>
        <w:rPr>
          <w:color w:val="auto"/>
          <w:highlight w:val="none"/>
        </w:rPr>
      </w:pPr>
      <w:bookmarkStart w:id="2" w:name="_Toc351466513"/>
      <w:bookmarkStart w:id="3" w:name="_Toc65593628"/>
      <w:r>
        <w:rPr>
          <w:rFonts w:hint="eastAsia"/>
          <w:color w:val="auto"/>
          <w:highlight w:val="none"/>
        </w:rPr>
        <w:t>供应商应提供以下商务技术文件</w:t>
      </w:r>
      <w:bookmarkEnd w:id="2"/>
      <w:bookmarkEnd w:id="3"/>
    </w:p>
    <w:p>
      <w:pPr>
        <w:spacing w:line="360" w:lineRule="auto"/>
        <w:ind w:firstLine="540"/>
        <w:rPr>
          <w:rFonts w:ascii="宋体" w:hAnsi="宋体"/>
          <w:color w:val="auto"/>
          <w:sz w:val="24"/>
          <w:highlight w:val="none"/>
        </w:rPr>
      </w:pPr>
      <w:r>
        <w:rPr>
          <w:rFonts w:hint="eastAsia" w:ascii="宋体" w:hAnsi="宋体"/>
          <w:color w:val="auto"/>
          <w:sz w:val="24"/>
          <w:highlight w:val="none"/>
        </w:rPr>
        <w:t>1</w:t>
      </w:r>
      <w:r>
        <w:rPr>
          <w:rFonts w:hint="eastAsia" w:ascii="MS Mincho" w:hAnsi="MS Mincho" w:cs="MS Mincho"/>
          <w:color w:val="auto"/>
          <w:sz w:val="24"/>
          <w:highlight w:val="none"/>
        </w:rPr>
        <w:t>★</w:t>
      </w:r>
      <w:r>
        <w:rPr>
          <w:rFonts w:ascii="宋体" w:hAnsi="宋体"/>
          <w:color w:val="auto"/>
          <w:sz w:val="24"/>
          <w:highlight w:val="none"/>
        </w:rPr>
        <w:t>投标函</w:t>
      </w:r>
    </w:p>
    <w:p>
      <w:pPr>
        <w:spacing w:line="360" w:lineRule="auto"/>
        <w:ind w:firstLine="540"/>
        <w:rPr>
          <w:rFonts w:ascii="宋体" w:hAnsi="宋体"/>
          <w:color w:val="auto"/>
          <w:sz w:val="24"/>
          <w:highlight w:val="none"/>
        </w:rPr>
      </w:pPr>
      <w:r>
        <w:rPr>
          <w:rFonts w:hint="eastAsia" w:ascii="宋体" w:hAnsi="宋体"/>
          <w:color w:val="auto"/>
          <w:sz w:val="24"/>
          <w:highlight w:val="none"/>
        </w:rPr>
        <w:t>2</w:t>
      </w:r>
      <w:r>
        <w:rPr>
          <w:rFonts w:hint="eastAsia" w:ascii="MS Mincho" w:hAnsi="MS Mincho" w:cs="MS Mincho"/>
          <w:color w:val="auto"/>
          <w:sz w:val="24"/>
          <w:highlight w:val="none"/>
        </w:rPr>
        <w:t>★</w:t>
      </w:r>
      <w:r>
        <w:rPr>
          <w:rFonts w:hint="eastAsia" w:ascii="宋体" w:hAnsi="宋体"/>
          <w:color w:val="auto"/>
          <w:sz w:val="24"/>
          <w:highlight w:val="none"/>
        </w:rPr>
        <w:t>开标一览表</w:t>
      </w:r>
    </w:p>
    <w:p>
      <w:pPr>
        <w:spacing w:line="360" w:lineRule="auto"/>
        <w:ind w:firstLine="540" w:firstLineChars="225"/>
        <w:rPr>
          <w:rFonts w:hint="eastAsia" w:ascii="宋体" w:hAnsi="宋体"/>
          <w:color w:val="auto"/>
          <w:sz w:val="24"/>
          <w:highlight w:val="none"/>
        </w:rPr>
      </w:pPr>
      <w:r>
        <w:rPr>
          <w:rFonts w:hint="eastAsia" w:ascii="宋体" w:hAnsi="宋体"/>
          <w:color w:val="auto"/>
          <w:sz w:val="24"/>
          <w:highlight w:val="none"/>
        </w:rPr>
        <w:t>3</w:t>
      </w:r>
      <w:r>
        <w:rPr>
          <w:rFonts w:hint="eastAsia" w:ascii="MS Mincho" w:hAnsi="MS Mincho" w:cs="MS Mincho"/>
          <w:color w:val="auto"/>
          <w:sz w:val="24"/>
          <w:highlight w:val="none"/>
        </w:rPr>
        <w:t>★</w:t>
      </w:r>
      <w:r>
        <w:rPr>
          <w:rFonts w:ascii="宋体" w:hAnsi="宋体"/>
          <w:color w:val="auto"/>
          <w:sz w:val="24"/>
          <w:highlight w:val="none"/>
        </w:rPr>
        <w:t>资格证明文件</w:t>
      </w:r>
    </w:p>
    <w:p>
      <w:pPr>
        <w:snapToGrid w:val="0"/>
        <w:spacing w:line="360" w:lineRule="auto"/>
        <w:ind w:firstLine="540" w:firstLineChars="225"/>
        <w:rPr>
          <w:rFonts w:ascii="黑体" w:hAnsi="宋体" w:eastAsia="黑体"/>
          <w:color w:val="auto"/>
          <w:sz w:val="24"/>
          <w:highlight w:val="none"/>
        </w:rPr>
      </w:pPr>
      <w:r>
        <w:rPr>
          <w:rFonts w:hint="eastAsia" w:ascii="宋体" w:hAnsi="宋体"/>
          <w:color w:val="auto"/>
          <w:sz w:val="24"/>
          <w:highlight w:val="none"/>
        </w:rPr>
        <w:t>4其他需要提供的有效文件</w:t>
      </w:r>
    </w:p>
    <w:p>
      <w:pPr>
        <w:spacing w:line="360" w:lineRule="auto"/>
        <w:ind w:firstLine="540"/>
        <w:rPr>
          <w:rFonts w:ascii="黑体" w:hAnsi="宋体" w:eastAsia="黑体"/>
          <w:color w:val="auto"/>
          <w:sz w:val="24"/>
          <w:highlight w:val="none"/>
        </w:rPr>
      </w:pPr>
      <w:r>
        <w:rPr>
          <w:rFonts w:ascii="黑体" w:hAnsi="宋体" w:eastAsia="黑体"/>
          <w:color w:val="auto"/>
          <w:sz w:val="24"/>
          <w:highlight w:val="none"/>
        </w:rPr>
        <w:t>以上</w:t>
      </w:r>
      <w:r>
        <w:rPr>
          <w:rFonts w:hint="eastAsia" w:ascii="黑体" w:hAnsi="宋体" w:eastAsia="黑体"/>
          <w:color w:val="auto"/>
          <w:sz w:val="24"/>
          <w:highlight w:val="none"/>
        </w:rPr>
        <w:t>★号为必备条款，任一条不满足则视为投标无效</w:t>
      </w:r>
      <w:r>
        <w:rPr>
          <w:rFonts w:ascii="黑体" w:hAnsi="宋体" w:eastAsia="黑体"/>
          <w:color w:val="auto"/>
          <w:sz w:val="24"/>
          <w:highlight w:val="none"/>
        </w:rPr>
        <w:t>。</w:t>
      </w:r>
    </w:p>
    <w:p>
      <w:pPr>
        <w:pStyle w:val="3"/>
        <w:spacing w:before="120" w:beforeLines="50" w:after="120" w:afterLines="50" w:line="360" w:lineRule="auto"/>
        <w:rPr>
          <w:color w:val="auto"/>
          <w:highlight w:val="none"/>
        </w:rPr>
      </w:pPr>
      <w:bookmarkStart w:id="4" w:name="_Toc65593629"/>
      <w:r>
        <w:rPr>
          <w:rFonts w:hint="eastAsia"/>
          <w:color w:val="auto"/>
          <w:highlight w:val="none"/>
        </w:rPr>
        <w:t>其他</w:t>
      </w:r>
      <w:bookmarkEnd w:id="4"/>
    </w:p>
    <w:p>
      <w:pPr>
        <w:snapToGrid w:val="0"/>
        <w:spacing w:line="360" w:lineRule="auto"/>
        <w:ind w:firstLine="540" w:firstLineChars="2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与本项目招标相关的事务及澄清公告敬请关注招标公告发布媒介。</w:t>
      </w:r>
    </w:p>
    <w:p>
      <w:pPr>
        <w:rPr>
          <w:rFonts w:ascii="宋体" w:hAnsi="宋体" w:cs="宋体"/>
          <w:b/>
          <w:color w:val="auto"/>
          <w:kern w:val="0"/>
          <w:sz w:val="28"/>
          <w:szCs w:val="28"/>
          <w:highlight w:val="none"/>
        </w:rPr>
      </w:pPr>
    </w:p>
    <w:p>
      <w:pPr>
        <w:rPr>
          <w:rFonts w:hint="eastAsia" w:eastAsia="宋体"/>
          <w:highlight w:val="none"/>
          <w:lang w:val="en-US" w:eastAsia="zh-CN"/>
        </w:rPr>
      </w:pPr>
      <w:r>
        <w:rPr>
          <w:color w:val="auto"/>
          <w:sz w:val="24"/>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7A"/>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2D8E18"/>
    <w:multiLevelType w:val="singleLevel"/>
    <w:tmpl w:val="F42D8E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2210B"/>
    <w:rsid w:val="02E32D4E"/>
    <w:rsid w:val="1D52210B"/>
    <w:rsid w:val="3792662C"/>
    <w:rsid w:val="58494FBA"/>
    <w:rsid w:val="6E7F2431"/>
    <w:rsid w:val="78FD6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240" w:after="240"/>
      <w:ind w:left="100" w:leftChars="100" w:right="100" w:rightChars="100"/>
      <w:jc w:val="center"/>
      <w:outlineLvl w:val="0"/>
    </w:pPr>
    <w:rPr>
      <w:rFonts w:ascii="Calibri" w:hAnsi="Calibri" w:eastAsia="黑体" w:cs="Times New Roman"/>
      <w:bCs/>
      <w:kern w:val="44"/>
      <w:sz w:val="44"/>
      <w:szCs w:val="44"/>
    </w:rPr>
  </w:style>
  <w:style w:type="paragraph" w:styleId="3">
    <w:name w:val="heading 2"/>
    <w:basedOn w:val="1"/>
    <w:next w:val="1"/>
    <w:qFormat/>
    <w:uiPriority w:val="0"/>
    <w:pPr>
      <w:keepNext/>
      <w:keepLines/>
      <w:outlineLvl w:val="1"/>
    </w:pPr>
    <w:rPr>
      <w:rFonts w:ascii="Arial" w:hAnsi="Arial" w:eastAsia="黑体" w:cs="Times New Roman"/>
      <w:bCs/>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jc w:val="left"/>
    </w:pPr>
    <w:rPr>
      <w:rFonts w:ascii="宋体" w:hAnsi="宋体"/>
      <w:b/>
      <w:bCs/>
      <w:sz w:val="24"/>
    </w:rPr>
  </w:style>
  <w:style w:type="paragraph" w:customStyle="1" w:styleId="7">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
    <w:name w:val="font4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1907</Words>
  <Characters>1953</Characters>
  <Lines>0</Lines>
  <Paragraphs>0</Paragraphs>
  <TotalTime>0</TotalTime>
  <ScaleCrop>false</ScaleCrop>
  <LinksUpToDate>false</LinksUpToDate>
  <CharactersWithSpaces>1959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2022-01-05T06:43:00Z</dcterms:created>
  <dc:creator>忱义</dc:creator>
  <cp:lastModifiedBy> Gentleman</cp:lastModifiedBy>
  <dcterms:modified xsi:type="dcterms:W3CDTF">2022-03-14T08:32:37Z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BE0626A48BFB4498BAEF264CF2DC304C</vt:lpwstr>
  </property>
</Properties>
</file>