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84"/>
          <w:tab w:val="left" w:pos="851"/>
        </w:tabs>
        <w:kinsoku/>
        <w:wordWrap/>
        <w:overflowPunct/>
        <w:topLinePunct w:val="0"/>
        <w:autoSpaceDE/>
        <w:autoSpaceDN/>
        <w:bidi w:val="0"/>
        <w:adjustRightInd/>
        <w:spacing w:line="360" w:lineRule="auto"/>
        <w:ind w:firstLine="562" w:firstLineChars="200"/>
        <w:jc w:val="left"/>
        <w:textAlignment w:val="auto"/>
        <w:rPr>
          <w:rFonts w:hint="eastAsia" w:ascii="宋体" w:hAnsi="宋体"/>
          <w:b/>
          <w:color w:val="auto"/>
          <w:sz w:val="28"/>
          <w:szCs w:val="28"/>
          <w:lang w:val="en-US" w:eastAsia="zh-CN"/>
        </w:rPr>
      </w:pPr>
      <w:r>
        <w:rPr>
          <w:rFonts w:hint="eastAsia" w:ascii="宋体" w:hAnsi="宋体"/>
          <w:b/>
          <w:color w:val="auto"/>
          <w:sz w:val="28"/>
          <w:szCs w:val="28"/>
          <w:lang w:val="en-US" w:eastAsia="zh-CN"/>
        </w:rPr>
        <w:t>一、采购内容：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3"/>
        <w:gridCol w:w="2286"/>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01" w:type="pct"/>
            <w:shd w:val="clear" w:color="auto" w:fill="D8D8D8"/>
            <w:noWrap w:val="0"/>
            <w:vAlign w:val="center"/>
          </w:tcPr>
          <w:p>
            <w:pPr>
              <w:spacing w:line="300" w:lineRule="auto"/>
              <w:jc w:val="center"/>
              <w:rPr>
                <w:b/>
                <w:bCs/>
                <w:color w:val="auto"/>
                <w:sz w:val="24"/>
              </w:rPr>
            </w:pPr>
            <w:r>
              <w:rPr>
                <w:rFonts w:hint="eastAsia"/>
                <w:b/>
                <w:bCs/>
                <w:color w:val="auto"/>
                <w:sz w:val="24"/>
              </w:rPr>
              <w:t>采购内容</w:t>
            </w:r>
          </w:p>
        </w:tc>
        <w:tc>
          <w:tcPr>
            <w:tcW w:w="1341" w:type="pct"/>
            <w:shd w:val="clear" w:color="auto" w:fill="D8D8D8"/>
            <w:noWrap w:val="0"/>
            <w:vAlign w:val="center"/>
          </w:tcPr>
          <w:p>
            <w:pPr>
              <w:spacing w:line="300" w:lineRule="auto"/>
              <w:jc w:val="center"/>
              <w:rPr>
                <w:b/>
                <w:bCs/>
                <w:color w:val="auto"/>
                <w:sz w:val="24"/>
              </w:rPr>
            </w:pPr>
            <w:r>
              <w:rPr>
                <w:rFonts w:hint="eastAsia"/>
                <w:b/>
                <w:bCs/>
                <w:color w:val="auto"/>
                <w:sz w:val="24"/>
              </w:rPr>
              <w:t>合同期</w:t>
            </w:r>
          </w:p>
        </w:tc>
        <w:tc>
          <w:tcPr>
            <w:tcW w:w="1357" w:type="pct"/>
            <w:shd w:val="clear" w:color="auto" w:fill="D8D8D8"/>
            <w:noWrap w:val="0"/>
            <w:vAlign w:val="center"/>
          </w:tcPr>
          <w:p>
            <w:pPr>
              <w:spacing w:line="300" w:lineRule="auto"/>
              <w:jc w:val="center"/>
              <w:rPr>
                <w:rFonts w:hint="default" w:eastAsia="宋体"/>
                <w:b/>
                <w:bCs/>
                <w:color w:val="auto"/>
                <w:sz w:val="24"/>
                <w:lang w:val="en-US" w:eastAsia="zh-CN"/>
              </w:rPr>
            </w:pPr>
            <w:r>
              <w:rPr>
                <w:rFonts w:hint="eastAsia"/>
                <w:b/>
                <w:bCs/>
                <w:color w:val="auto"/>
                <w:sz w:val="24"/>
                <w:lang w:val="en-US" w:eastAsia="zh-CN"/>
              </w:rPr>
              <w:t>最终结算上限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301" w:type="pct"/>
            <w:noWrap w:val="0"/>
            <w:vAlign w:val="center"/>
          </w:tcPr>
          <w:p>
            <w:pPr>
              <w:adjustRightInd w:val="0"/>
              <w:snapToGrid w:val="0"/>
              <w:spacing w:line="300" w:lineRule="auto"/>
              <w:jc w:val="center"/>
              <w:rPr>
                <w:rFonts w:ascii="宋体" w:hAnsi="宋体" w:cs="宋体"/>
                <w:color w:val="auto"/>
                <w:sz w:val="24"/>
              </w:rPr>
            </w:pPr>
            <w:r>
              <w:rPr>
                <w:rFonts w:hint="eastAsia"/>
                <w:color w:val="auto"/>
                <w:sz w:val="24"/>
              </w:rPr>
              <w:t>食堂厨房设备零星维修服务</w:t>
            </w:r>
          </w:p>
        </w:tc>
        <w:tc>
          <w:tcPr>
            <w:tcW w:w="1341" w:type="pct"/>
            <w:noWrap w:val="0"/>
            <w:vAlign w:val="center"/>
          </w:tcPr>
          <w:p>
            <w:pPr>
              <w:adjustRightInd w:val="0"/>
              <w:snapToGrid w:val="0"/>
              <w:spacing w:line="300" w:lineRule="auto"/>
              <w:jc w:val="center"/>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年</w:t>
            </w:r>
          </w:p>
        </w:tc>
        <w:tc>
          <w:tcPr>
            <w:tcW w:w="1357" w:type="pct"/>
            <w:noWrap w:val="0"/>
            <w:vAlign w:val="center"/>
          </w:tcPr>
          <w:p>
            <w:pPr>
              <w:widowControl/>
              <w:spacing w:line="300" w:lineRule="auto"/>
              <w:jc w:val="center"/>
              <w:rPr>
                <w:rFonts w:ascii="宋体" w:hAnsi="宋体" w:cs="宋体"/>
                <w:color w:val="auto"/>
                <w:sz w:val="24"/>
              </w:rPr>
            </w:pPr>
            <w:r>
              <w:rPr>
                <w:rFonts w:hint="eastAsia" w:ascii="宋体" w:hAnsi="宋体" w:cs="宋体"/>
                <w:color w:val="auto"/>
                <w:sz w:val="24"/>
                <w:lang w:val="en-US" w:eastAsia="zh-CN"/>
              </w:rPr>
              <w:t>87</w:t>
            </w:r>
            <w:r>
              <w:rPr>
                <w:rFonts w:hint="eastAsia" w:ascii="宋体" w:hAnsi="宋体" w:cs="宋体"/>
                <w:color w:val="auto"/>
                <w:sz w:val="24"/>
              </w:rPr>
              <w:t>万元</w:t>
            </w:r>
          </w:p>
        </w:tc>
      </w:tr>
    </w:tbl>
    <w:p>
      <w:pPr>
        <w:keepNext w:val="0"/>
        <w:keepLines w:val="0"/>
        <w:pageBreakBefore w:val="0"/>
        <w:widowControl w:val="0"/>
        <w:tabs>
          <w:tab w:val="left" w:pos="284"/>
          <w:tab w:val="left" w:pos="851"/>
        </w:tabs>
        <w:kinsoku/>
        <w:wordWrap/>
        <w:overflowPunct/>
        <w:topLinePunct w:val="0"/>
        <w:autoSpaceDE/>
        <w:autoSpaceDN/>
        <w:bidi w:val="0"/>
        <w:adjustRightInd/>
        <w:spacing w:line="360" w:lineRule="auto"/>
        <w:ind w:firstLine="562" w:firstLineChars="200"/>
        <w:jc w:val="left"/>
        <w:textAlignment w:val="auto"/>
        <w:rPr>
          <w:rFonts w:ascii="宋体" w:hAnsi="宋体"/>
          <w:b/>
          <w:color w:val="auto"/>
          <w:sz w:val="28"/>
          <w:szCs w:val="28"/>
        </w:rPr>
      </w:pPr>
      <w:r>
        <w:rPr>
          <w:rFonts w:hint="eastAsia" w:ascii="宋体" w:hAnsi="宋体"/>
          <w:b/>
          <w:color w:val="auto"/>
          <w:sz w:val="28"/>
          <w:szCs w:val="28"/>
          <w:lang w:val="en-US" w:eastAsia="zh-CN"/>
        </w:rPr>
        <w:t>二</w:t>
      </w:r>
      <w:r>
        <w:rPr>
          <w:rFonts w:ascii="宋体" w:hAnsi="宋体"/>
          <w:b/>
          <w:color w:val="auto"/>
          <w:sz w:val="28"/>
          <w:szCs w:val="28"/>
        </w:rPr>
        <w:t>、项目概况</w:t>
      </w:r>
    </w:p>
    <w:p>
      <w:pPr>
        <w:keepNext w:val="0"/>
        <w:keepLines w:val="0"/>
        <w:pageBreakBefore w:val="0"/>
        <w:widowControl w:val="0"/>
        <w:tabs>
          <w:tab w:val="left" w:pos="1145"/>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rPr>
        <w:t>1.</w:t>
      </w:r>
      <w:r>
        <w:rPr>
          <w:rFonts w:ascii="宋体" w:hAnsi="宋体"/>
          <w:color w:val="auto"/>
          <w:sz w:val="24"/>
        </w:rPr>
        <w:t>本项目</w:t>
      </w:r>
      <w:r>
        <w:rPr>
          <w:rFonts w:ascii="宋体" w:hAnsi="宋体"/>
          <w:color w:val="auto"/>
          <w:sz w:val="24"/>
          <w:szCs w:val="24"/>
        </w:rPr>
        <w:t>是</w:t>
      </w:r>
      <w:r>
        <w:rPr>
          <w:rFonts w:hint="eastAsia" w:ascii="宋体" w:hAnsi="宋体"/>
          <w:color w:val="auto"/>
          <w:sz w:val="24"/>
          <w:szCs w:val="24"/>
          <w:lang w:val="en-US" w:eastAsia="zh-CN"/>
        </w:rPr>
        <w:t>对哈尔滨工业大学</w:t>
      </w:r>
      <w:r>
        <w:rPr>
          <w:rFonts w:hint="eastAsia"/>
          <w:color w:val="auto"/>
          <w:sz w:val="24"/>
          <w:szCs w:val="24"/>
          <w:lang w:val="en-US" w:eastAsia="zh-CN"/>
        </w:rPr>
        <w:t>总务处后勤集团饮食中心</w:t>
      </w:r>
      <w:r>
        <w:rPr>
          <w:rFonts w:hint="eastAsia"/>
          <w:color w:val="auto"/>
          <w:sz w:val="24"/>
          <w:szCs w:val="24"/>
        </w:rPr>
        <w:t>厨房设备零星维修服务</w:t>
      </w:r>
      <w:r>
        <w:rPr>
          <w:rFonts w:ascii="宋体" w:hAnsi="宋体"/>
          <w:color w:val="auto"/>
          <w:sz w:val="24"/>
          <w:szCs w:val="24"/>
        </w:rPr>
        <w:t>进行</w:t>
      </w:r>
      <w:r>
        <w:rPr>
          <w:rFonts w:hint="eastAsia" w:ascii="宋体" w:hAnsi="宋体"/>
          <w:color w:val="auto"/>
          <w:sz w:val="24"/>
          <w:szCs w:val="24"/>
          <w:lang w:val="en-US" w:eastAsia="zh-CN"/>
        </w:rPr>
        <w:t>快采购招标</w:t>
      </w:r>
      <w:r>
        <w:rPr>
          <w:rFonts w:ascii="宋体" w:hAnsi="宋体"/>
          <w:color w:val="auto"/>
          <w:sz w:val="24"/>
          <w:szCs w:val="24"/>
        </w:rPr>
        <w:t>，确定</w:t>
      </w:r>
      <w:r>
        <w:rPr>
          <w:rFonts w:hint="eastAsia" w:ascii="宋体" w:hAnsi="宋体"/>
          <w:color w:val="auto"/>
          <w:sz w:val="24"/>
          <w:szCs w:val="24"/>
        </w:rPr>
        <w:t>1</w:t>
      </w:r>
      <w:r>
        <w:rPr>
          <w:rFonts w:ascii="宋体" w:hAnsi="宋体"/>
          <w:color w:val="auto"/>
          <w:sz w:val="24"/>
          <w:szCs w:val="24"/>
        </w:rPr>
        <w:t>名</w:t>
      </w:r>
      <w:r>
        <w:rPr>
          <w:rFonts w:hint="eastAsia" w:ascii="宋体" w:hAnsi="宋体"/>
          <w:color w:val="auto"/>
          <w:sz w:val="24"/>
          <w:szCs w:val="24"/>
          <w:lang w:val="en-US" w:eastAsia="zh-CN"/>
        </w:rPr>
        <w:t>成交</w:t>
      </w:r>
      <w:r>
        <w:rPr>
          <w:rFonts w:ascii="宋体" w:hAnsi="宋体"/>
          <w:color w:val="auto"/>
          <w:sz w:val="24"/>
          <w:szCs w:val="24"/>
        </w:rPr>
        <w:t>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rPr>
      </w:pPr>
      <w:r>
        <w:rPr>
          <w:rFonts w:hint="eastAsia" w:ascii="宋体" w:hAnsi="宋体"/>
          <w:color w:val="auto"/>
          <w:sz w:val="24"/>
        </w:rPr>
        <w:t>2.项目维修范围包括</w:t>
      </w:r>
      <w:r>
        <w:rPr>
          <w:rFonts w:hint="eastAsia" w:ascii="宋体" w:hAnsi="宋体"/>
          <w:color w:val="auto"/>
          <w:sz w:val="24"/>
          <w:szCs w:val="24"/>
          <w:lang w:val="en-US" w:eastAsia="zh-CN"/>
        </w:rPr>
        <w:t>哈尔滨工业大学</w:t>
      </w:r>
      <w:r>
        <w:rPr>
          <w:rFonts w:hint="eastAsia"/>
          <w:color w:val="auto"/>
          <w:sz w:val="24"/>
          <w:szCs w:val="24"/>
          <w:lang w:val="en-US" w:eastAsia="zh-CN"/>
        </w:rPr>
        <w:t>总务处后勤集团饮食中心9</w:t>
      </w:r>
      <w:r>
        <w:rPr>
          <w:rFonts w:hint="eastAsia" w:ascii="宋体" w:hAnsi="宋体"/>
          <w:color w:val="auto"/>
          <w:sz w:val="24"/>
        </w:rPr>
        <w:t>个</w:t>
      </w:r>
      <w:r>
        <w:rPr>
          <w:rFonts w:hint="eastAsia" w:ascii="宋体" w:hAnsi="宋体"/>
          <w:color w:val="auto"/>
          <w:sz w:val="24"/>
          <w:lang w:val="en-US" w:eastAsia="zh-CN"/>
        </w:rPr>
        <w:t>餐厅楼宇，23个餐厅全部</w:t>
      </w:r>
      <w:r>
        <w:rPr>
          <w:rFonts w:hint="eastAsia" w:ascii="宋体" w:hAnsi="宋体"/>
          <w:color w:val="auto"/>
          <w:sz w:val="24"/>
        </w:rPr>
        <w:t>厨房</w:t>
      </w:r>
      <w:r>
        <w:rPr>
          <w:rFonts w:hint="eastAsia" w:ascii="宋体" w:hAnsi="宋体"/>
          <w:color w:val="auto"/>
          <w:sz w:val="24"/>
          <w:lang w:val="en-US" w:eastAsia="zh-CN"/>
        </w:rPr>
        <w:t>不锈钢</w:t>
      </w:r>
      <w:r>
        <w:rPr>
          <w:rFonts w:hint="eastAsia" w:ascii="宋体" w:hAnsi="宋体"/>
          <w:color w:val="auto"/>
          <w:sz w:val="24"/>
        </w:rPr>
        <w:t>设备及中小型餐具</w:t>
      </w:r>
      <w:r>
        <w:rPr>
          <w:rFonts w:hint="eastAsia" w:ascii="宋体" w:hAnsi="宋体"/>
          <w:color w:val="auto"/>
          <w:sz w:val="24"/>
          <w:lang w:eastAsia="zh-CN"/>
        </w:rPr>
        <w:t>、</w:t>
      </w:r>
      <w:r>
        <w:rPr>
          <w:rFonts w:hint="eastAsia" w:ascii="宋体" w:hAnsi="宋体"/>
          <w:color w:val="auto"/>
          <w:sz w:val="24"/>
        </w:rPr>
        <w:t>炊具</w:t>
      </w:r>
      <w:r>
        <w:rPr>
          <w:rFonts w:hint="eastAsia" w:ascii="宋体" w:hAnsi="宋体"/>
          <w:color w:val="auto"/>
          <w:sz w:val="24"/>
          <w:lang w:eastAsia="zh-CN"/>
        </w:rPr>
        <w:t>、</w:t>
      </w:r>
      <w:r>
        <w:rPr>
          <w:rFonts w:hint="eastAsia" w:ascii="宋体" w:hAnsi="宋体"/>
          <w:color w:val="auto"/>
          <w:sz w:val="24"/>
        </w:rPr>
        <w:t>台架</w:t>
      </w:r>
      <w:r>
        <w:rPr>
          <w:rFonts w:hint="eastAsia" w:ascii="宋体" w:hAnsi="宋体"/>
          <w:color w:val="auto"/>
          <w:sz w:val="24"/>
          <w:lang w:eastAsia="zh-CN"/>
        </w:rPr>
        <w:t>、</w:t>
      </w:r>
      <w:r>
        <w:rPr>
          <w:rFonts w:hint="eastAsia" w:ascii="宋体" w:hAnsi="宋体"/>
          <w:color w:val="auto"/>
          <w:sz w:val="24"/>
          <w:lang w:val="en-US" w:eastAsia="zh-CN"/>
        </w:rPr>
        <w:t>推车</w:t>
      </w:r>
      <w:r>
        <w:rPr>
          <w:rFonts w:hint="eastAsia" w:ascii="宋体" w:hAnsi="宋体"/>
          <w:color w:val="auto"/>
          <w:sz w:val="24"/>
        </w:rPr>
        <w:t>等，维修类别主要有厨房炉灶及炉灶相关连的小型天然气</w:t>
      </w:r>
      <w:r>
        <w:rPr>
          <w:rFonts w:hint="eastAsia" w:ascii="宋体" w:hAnsi="宋体"/>
          <w:color w:val="auto"/>
          <w:sz w:val="24"/>
          <w:lang w:val="en-US" w:eastAsia="zh-CN"/>
        </w:rPr>
        <w:t>软</w:t>
      </w:r>
      <w:r>
        <w:rPr>
          <w:rFonts w:hint="eastAsia" w:ascii="宋体" w:hAnsi="宋体"/>
          <w:color w:val="auto"/>
          <w:sz w:val="24"/>
        </w:rPr>
        <w:t>管道、厨房通风设备、厨房制冷保鲜设备、餐具消毒保洁设备、中小型厨房食品加工生产设备、不锈钢餐具炊具工作台架等设备和工具的故障。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olor w:val="auto"/>
          <w:sz w:val="24"/>
        </w:rPr>
      </w:pPr>
      <w:r>
        <w:rPr>
          <w:rFonts w:hint="eastAsia" w:ascii="宋体" w:hAnsi="宋体"/>
          <w:color w:val="auto"/>
          <w:sz w:val="24"/>
        </w:rPr>
        <w:t>3.项目服务期</w:t>
      </w:r>
      <w:r>
        <w:rPr>
          <w:rFonts w:hint="eastAsia" w:ascii="宋体" w:hAnsi="宋体"/>
          <w:color w:val="auto"/>
          <w:sz w:val="24"/>
          <w:lang w:val="en-US" w:eastAsia="zh-CN"/>
        </w:rPr>
        <w:t>一年</w:t>
      </w:r>
      <w:r>
        <w:rPr>
          <w:rFonts w:hint="eastAsia" w:ascii="宋体" w:hAnsi="宋体"/>
          <w:color w:val="auto"/>
          <w:sz w:val="24"/>
        </w:rPr>
        <w:t>，自合同生效之日起计算。</w:t>
      </w:r>
      <w:r>
        <w:rPr>
          <w:rFonts w:hint="eastAsia" w:ascii="宋体" w:hAnsi="宋体"/>
          <w:color w:val="auto"/>
          <w:sz w:val="24"/>
          <w:lang w:val="en-US" w:eastAsia="zh-CN"/>
        </w:rPr>
        <w:t>最终结算上限87万元</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color w:val="auto"/>
          <w:sz w:val="24"/>
        </w:rPr>
        <w:t>4.本项目《食堂厨房设备零星维修工程量清单最高限价表》中项目单价为</w:t>
      </w:r>
      <w:r>
        <w:rPr>
          <w:rFonts w:hint="eastAsia" w:ascii="宋体" w:hAnsi="宋体"/>
          <w:color w:val="auto"/>
          <w:sz w:val="24"/>
          <w:lang w:val="en-US" w:eastAsia="zh-CN"/>
        </w:rPr>
        <w:t>含税</w:t>
      </w:r>
      <w:r>
        <w:rPr>
          <w:rFonts w:hint="eastAsia" w:ascii="宋体" w:hAnsi="宋体"/>
          <w:sz w:val="24"/>
        </w:rPr>
        <w:t>价，已包括该项零配件更换的人工费、零配件费、辅材费、机械费、措施费、赶工费、保险费、安装调试费、检验试验费、培训辅导费、质保期售后服务费、更换零配件前对应设备的检查费、利润和政府规费</w:t>
      </w:r>
      <w:r>
        <w:rPr>
          <w:rFonts w:hint="eastAsia" w:ascii="宋体" w:hAnsi="宋体"/>
          <w:sz w:val="24"/>
          <w:lang w:eastAsia="zh-CN"/>
        </w:rPr>
        <w:t>、</w:t>
      </w:r>
      <w:r>
        <w:rPr>
          <w:rFonts w:hint="eastAsia" w:ascii="宋体" w:hAnsi="宋体"/>
          <w:sz w:val="24"/>
          <w:lang w:val="en-US" w:eastAsia="zh-CN"/>
        </w:rPr>
        <w:t>税费</w:t>
      </w:r>
      <w:r>
        <w:rPr>
          <w:rFonts w:hint="eastAsia" w:ascii="宋体" w:hAnsi="宋体"/>
          <w:sz w:val="24"/>
        </w:rPr>
        <w:t>等一切费用。</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、技术商务要求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rPr>
      </w:pPr>
      <w:r>
        <w:rPr>
          <w:rFonts w:hint="eastAsia" w:ascii="宋体" w:hAnsi="宋体"/>
          <w:b/>
          <w:sz w:val="24"/>
        </w:rPr>
        <w:t>（一）预算与结算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sz w:val="24"/>
        </w:rPr>
        <w:t>1.</w:t>
      </w:r>
      <w:r>
        <w:rPr>
          <w:rFonts w:hint="eastAsia" w:ascii="宋体" w:hAnsi="宋体"/>
          <w:sz w:val="24"/>
        </w:rPr>
        <w:t>食堂厨房设备零星维修服务项目，指单项工程估算造价在2万元以内的项目，由采购方以零星维修服务单方式直接派工，具体工程量以实际发生的计算。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rPr>
        <w:t>单项工程估算造价在2万元以上的维修项目不在本次招标范围内，由采购方按学校采购管理办法相关规定另行确定。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rFonts w:hint="eastAsia"/>
          <w:sz w:val="24"/>
        </w:rPr>
        <w:t>2.</w:t>
      </w:r>
      <w:r>
        <w:rPr>
          <w:rFonts w:hint="eastAsia" w:ascii="宋体" w:hAnsi="宋体"/>
          <w:sz w:val="24"/>
        </w:rPr>
        <w:t>食堂厨房设</w:t>
      </w:r>
      <w:r>
        <w:rPr>
          <w:rFonts w:hint="eastAsia"/>
          <w:sz w:val="24"/>
        </w:rPr>
        <w:t>备零星维修工程免预算，维修</w:t>
      </w:r>
      <w:r>
        <w:rPr>
          <w:rFonts w:hint="eastAsia"/>
          <w:sz w:val="24"/>
          <w:lang w:val="en-US" w:eastAsia="zh-CN"/>
        </w:rPr>
        <w:t>服务</w:t>
      </w:r>
      <w:r>
        <w:rPr>
          <w:rFonts w:hint="eastAsia"/>
          <w:sz w:val="24"/>
        </w:rPr>
        <w:t>单位接到维修单后，可直接进行维修作业，维修工程完成可直接进入结算阶段。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color w:val="auto"/>
          <w:sz w:val="24"/>
        </w:rPr>
        <w:t>3.项目结算：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ascii="宋体" w:hAnsi="宋体"/>
          <w:color w:val="auto"/>
          <w:sz w:val="24"/>
        </w:rPr>
        <w:t>（1）</w:t>
      </w:r>
      <w:r>
        <w:rPr>
          <w:rFonts w:hint="eastAsia"/>
          <w:color w:val="auto"/>
          <w:sz w:val="24"/>
        </w:rPr>
        <w:t>项目结算造价，根据本项目《食堂厨房设备零星维修工程量清单最高限价表》（详见招标文件附件），并结合成交</w:t>
      </w:r>
      <w:r>
        <w:rPr>
          <w:rFonts w:hint="eastAsia"/>
          <w:color w:val="auto"/>
          <w:sz w:val="24"/>
          <w:lang w:val="en-US" w:eastAsia="zh-CN"/>
        </w:rPr>
        <w:t>维修服务单位</w:t>
      </w:r>
      <w:r>
        <w:rPr>
          <w:rFonts w:hint="eastAsia"/>
          <w:color w:val="auto"/>
          <w:sz w:val="24"/>
        </w:rPr>
        <w:t>中标下浮率进行计算</w:t>
      </w:r>
      <w:r>
        <w:rPr>
          <w:rFonts w:hint="eastAsia"/>
          <w:color w:val="auto"/>
          <w:sz w:val="24"/>
          <w:lang w:eastAsia="zh-CN"/>
        </w:rPr>
        <w:t>，最终结算金额为实际发生费用乘以（1-投标下浮率）</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rFonts w:hint="eastAsia" w:ascii="宋体" w:hAnsi="宋体"/>
          <w:sz w:val="24"/>
        </w:rPr>
        <w:t>（2）</w:t>
      </w:r>
      <w:r>
        <w:rPr>
          <w:rFonts w:hint="eastAsia"/>
          <w:sz w:val="24"/>
        </w:rPr>
        <w:t>《食堂厨房设备零星维修工程量清单最高限价表》没有的项目，涉及到土建、水电部分的，则按甲方学校现行的土建及水电安装零星维修工程量清单报价表中标综合单价进行计算；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（3）</w:t>
      </w:r>
      <w:r>
        <w:rPr>
          <w:rFonts w:hint="eastAsia"/>
          <w:sz w:val="24"/>
        </w:rPr>
        <w:t>上述报价清单均缺项的项目，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rPr>
        <w:t>4.工程结算与送审要求：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rFonts w:hint="eastAsia"/>
          <w:sz w:val="24"/>
        </w:rPr>
        <w:t>（1）结算</w:t>
      </w:r>
      <w:r>
        <w:rPr>
          <w:rFonts w:hint="eastAsia"/>
          <w:sz w:val="24"/>
          <w:lang w:val="en-US" w:eastAsia="zh-CN"/>
        </w:rPr>
        <w:t>周期</w:t>
      </w:r>
      <w:r>
        <w:rPr>
          <w:rFonts w:hint="eastAsia"/>
          <w:sz w:val="24"/>
        </w:rPr>
        <w:t>。</w:t>
      </w:r>
      <w:r>
        <w:rPr>
          <w:rFonts w:hint="eastAsia"/>
          <w:sz w:val="24"/>
          <w:lang w:val="en-US" w:eastAsia="zh-CN"/>
        </w:rPr>
        <w:t>三</w:t>
      </w:r>
      <w:r>
        <w:rPr>
          <w:rFonts w:hint="eastAsia"/>
          <w:sz w:val="24"/>
        </w:rPr>
        <w:t>月一结。</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rFonts w:hint="eastAsia"/>
          <w:sz w:val="24"/>
        </w:rPr>
        <w:t>（2）结算</w:t>
      </w:r>
      <w:r>
        <w:rPr>
          <w:rFonts w:hint="eastAsia"/>
          <w:sz w:val="24"/>
          <w:lang w:eastAsia="zh-CN"/>
        </w:rPr>
        <w:t>：</w:t>
      </w:r>
      <w:r>
        <w:rPr>
          <w:rFonts w:hint="eastAsia"/>
          <w:sz w:val="24"/>
          <w:lang w:val="en-US" w:eastAsia="zh-CN"/>
        </w:rPr>
        <w:t>由饮食中心服务保障部核对《维修服务单》，由饮食中心核算部</w:t>
      </w:r>
      <w:r>
        <w:rPr>
          <w:rFonts w:hint="eastAsia"/>
          <w:sz w:val="24"/>
        </w:rPr>
        <w:t>审核，按采购方财务处流程，办理报账付款手续。</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b/>
          <w:sz w:val="24"/>
        </w:rPr>
      </w:pPr>
      <w:r>
        <w:rPr>
          <w:rFonts w:hint="eastAsia" w:ascii="宋体" w:hAnsi="宋体"/>
          <w:b/>
          <w:sz w:val="24"/>
        </w:rPr>
        <w:t>（二）维修单响应时间要求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sz w:val="24"/>
        </w:rPr>
      </w:pPr>
      <w:r>
        <w:rPr>
          <w:rFonts w:hint="eastAsia"/>
          <w:sz w:val="24"/>
        </w:rPr>
        <w:t>1.普通报修：即不影响食堂和厨房的正常运转，不影响供餐任务的故障报修，维修服务商在接到采购方的维修指令（含电邮电话通知）或日常零星维修服务单后，应在2小时内响应，可在用户约定的时间内安排维修和作业。但要求从维修服务商响应报修到完成维修最多不能超过72小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sz w:val="24"/>
        </w:rPr>
      </w:pPr>
      <w:r>
        <w:rPr>
          <w:rFonts w:hint="eastAsia"/>
          <w:sz w:val="24"/>
        </w:rPr>
        <w:t>2.紧急报修：如炉灶突发故障、天然气管道突发故障</w:t>
      </w:r>
      <w:r>
        <w:rPr>
          <w:rFonts w:hint="eastAsia"/>
          <w:sz w:val="24"/>
          <w:lang w:eastAsia="zh-CN"/>
        </w:rPr>
        <w:t>、</w:t>
      </w:r>
      <w:r>
        <w:rPr>
          <w:rFonts w:hint="eastAsia"/>
          <w:sz w:val="24"/>
          <w:lang w:val="en-US" w:eastAsia="zh-CN"/>
        </w:rPr>
        <w:t>排风系统故障、冷库故障</w:t>
      </w:r>
      <w:r>
        <w:rPr>
          <w:rFonts w:hint="eastAsia"/>
          <w:sz w:val="24"/>
        </w:rPr>
        <w:t>等会较大影响到正常供餐的项目（除特殊维修项目外），维修服务商在接到采购方的维修指令后，要求30分钟内响应，2小时内达到维修作业现场，12小时内完成维修工作。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rPr>
      </w:pPr>
      <w:r>
        <w:rPr>
          <w:rFonts w:hint="eastAsia"/>
          <w:sz w:val="24"/>
        </w:rPr>
        <w:t>3.维修作业任务完成后维修单须在5天内返回确认，销单。</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b/>
          <w:sz w:val="24"/>
        </w:rPr>
      </w:pPr>
      <w:r>
        <w:rPr>
          <w:rFonts w:hint="eastAsia" w:ascii="宋体" w:hAnsi="宋体"/>
          <w:b/>
          <w:sz w:val="24"/>
        </w:rPr>
        <w:t>（三）</w:t>
      </w:r>
      <w:r>
        <w:rPr>
          <w:rFonts w:hint="eastAsia"/>
          <w:b/>
          <w:sz w:val="24"/>
        </w:rPr>
        <w:t>质量要求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rPr>
      </w:pPr>
      <w:r>
        <w:rPr>
          <w:rFonts w:hint="eastAsia"/>
          <w:sz w:val="24"/>
        </w:rPr>
        <w:t>1.维修作业中应严格执行安全操作规范，防火规范，按期保质完成维修任务；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rPr>
      </w:pPr>
      <w:r>
        <w:rPr>
          <w:rFonts w:hint="eastAsia"/>
          <w:sz w:val="24"/>
        </w:rPr>
        <w:t>2.严格执行有关维修作业现场管理的规定，不得污染环境，保证维修作业现场清洁，项目完成后维修服务商负责清扫维修作业现场；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sz w:val="24"/>
        </w:rPr>
        <w:t>3.维修作业中所需的材料（包括配件、成品、设备），必须经过采购方认可方能使用。</w:t>
      </w:r>
      <w:r>
        <w:rPr>
          <w:rFonts w:hint="eastAsia" w:ascii="宋体" w:hAnsi="宋体"/>
          <w:sz w:val="24"/>
        </w:rPr>
        <w:t>电气、钢化玻璃等材料必须有“3C”认证证明，维修过程使用的油漆、涂料、胶水、保温材料等必须符合环境保护要求及通过国家环境标志认证。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mM0ZjA0N2UyNzczZmRmZDBjNTNmMmNiM2Q3OTMifQ=="/>
  </w:docVars>
  <w:rsids>
    <w:rsidRoot w:val="2099688E"/>
    <w:rsid w:val="02B02E3E"/>
    <w:rsid w:val="051F56CA"/>
    <w:rsid w:val="0ECC1D0F"/>
    <w:rsid w:val="0F546AE2"/>
    <w:rsid w:val="132B1F37"/>
    <w:rsid w:val="14F35366"/>
    <w:rsid w:val="1B0176B9"/>
    <w:rsid w:val="2099688E"/>
    <w:rsid w:val="218E7BCB"/>
    <w:rsid w:val="2BA43D23"/>
    <w:rsid w:val="2C6A0B5A"/>
    <w:rsid w:val="2F9A0CC0"/>
    <w:rsid w:val="3BB7461D"/>
    <w:rsid w:val="45FD3099"/>
    <w:rsid w:val="55FC004C"/>
    <w:rsid w:val="5E5730C2"/>
    <w:rsid w:val="60F8227A"/>
    <w:rsid w:val="648F694A"/>
    <w:rsid w:val="7F19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widowControl/>
      <w:spacing w:before="340" w:after="330" w:line="578" w:lineRule="auto"/>
      <w:jc w:val="left"/>
      <w:outlineLvl w:val="0"/>
    </w:pPr>
    <w:rPr>
      <w:b/>
      <w:bCs/>
      <w:kern w:val="44"/>
      <w:sz w:val="44"/>
      <w:szCs w:val="44"/>
    </w:rPr>
  </w:style>
  <w:style w:type="paragraph" w:styleId="4">
    <w:name w:val="heading 3"/>
    <w:basedOn w:val="1"/>
    <w:next w:val="5"/>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uiPriority w:val="0"/>
    <w:pPr>
      <w:ind w:left="1260" w:leftChars="600"/>
    </w:pPr>
  </w:style>
  <w:style w:type="paragraph" w:styleId="9">
    <w:name w:val="Normal (Web)"/>
    <w:basedOn w:val="1"/>
    <w:qFormat/>
    <w:uiPriority w:val="99"/>
    <w:pPr>
      <w:widowControl/>
      <w:spacing w:before="100" w:beforeAutospacing="1" w:after="100" w:afterAutospacing="1" w:line="270" w:lineRule="atLeast"/>
      <w:jc w:val="left"/>
    </w:pPr>
    <w:rPr>
      <w:color w:val="333333"/>
      <w:kern w:val="0"/>
      <w:sz w:val="18"/>
      <w:szCs w:val="18"/>
    </w:rPr>
  </w:style>
  <w:style w:type="paragraph" w:styleId="10">
    <w:name w:val="Title"/>
    <w:basedOn w:val="1"/>
    <w:qFormat/>
    <w:uiPriority w:val="0"/>
    <w:pPr>
      <w:jc w:val="center"/>
    </w:pPr>
    <w:rPr>
      <w:b/>
      <w:sz w:val="30"/>
      <w:szCs w:val="20"/>
    </w:rPr>
  </w:style>
  <w:style w:type="character" w:styleId="13">
    <w:name w:val="page number"/>
    <w:qFormat/>
    <w:uiPriority w:val="0"/>
  </w:style>
  <w:style w:type="paragraph" w:customStyle="1" w:styleId="14">
    <w:name w:val="列出段落1"/>
    <w:basedOn w:val="1"/>
    <w:qFormat/>
    <w:uiPriority w:val="0"/>
    <w:pPr>
      <w:ind w:firstLine="420" w:firstLineChars="200"/>
    </w:pPr>
  </w:style>
  <w:style w:type="paragraph" w:customStyle="1" w:styleId="15">
    <w:name w:val="一二三"/>
    <w:basedOn w:val="1"/>
    <w:qFormat/>
    <w:uiPriority w:val="0"/>
    <w:pPr>
      <w:spacing w:line="360" w:lineRule="auto"/>
    </w:pPr>
    <w:rPr>
      <w:rFonts w:ascii="Times New Roman" w:hAnsi="Times New Roman" w:eastAsia="仿宋" w:cs="Times New Roman"/>
      <w:b/>
      <w:szCs w:val="21"/>
    </w:rPr>
  </w:style>
  <w:style w:type="paragraph" w:customStyle="1" w:styleId="1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styleId="17">
    <w:name w:val="List Paragraph"/>
    <w:basedOn w:val="1"/>
    <w:next w:val="8"/>
    <w:qFormat/>
    <w:uiPriority w:val="34"/>
    <w:pPr>
      <w:ind w:firstLine="420" w:firstLineChars="200"/>
    </w:pPr>
    <w:rPr>
      <w:rFonts w:ascii="Calibri" w:hAnsi="Calibri"/>
      <w:szCs w:val="22"/>
    </w:rPr>
  </w:style>
  <w:style w:type="paragraph" w:customStyle="1" w:styleId="18">
    <w:name w:val="_Style 2"/>
    <w:basedOn w:val="1"/>
    <w:next w:val="1"/>
    <w:qFormat/>
    <w:uiPriority w:val="0"/>
    <w:pPr>
      <w:pBdr>
        <w:bottom w:val="single" w:color="auto" w:sz="6" w:space="1"/>
      </w:pBdr>
      <w:jc w:val="center"/>
    </w:pPr>
    <w:rPr>
      <w:rFonts w:ascii="Arial" w:eastAsia="宋体"/>
      <w:vanish/>
      <w:sz w:val="16"/>
    </w:rPr>
  </w:style>
  <w:style w:type="paragraph" w:customStyle="1" w:styleId="19">
    <w:name w:val="_Style 8"/>
    <w:basedOn w:val="1"/>
    <w:next w:val="17"/>
    <w:qFormat/>
    <w:uiPriority w:val="34"/>
    <w:pPr>
      <w:spacing w:line="360" w:lineRule="auto"/>
      <w:ind w:firstLine="420" w:firstLineChars="200"/>
    </w:pPr>
    <w:rPr>
      <w:sz w:val="24"/>
    </w:rPr>
  </w:style>
  <w:style w:type="paragraph" w:customStyle="1" w:styleId="20">
    <w:name w:val="报告正文"/>
    <w:basedOn w:val="1"/>
    <w:qFormat/>
    <w:uiPriority w:val="0"/>
    <w:pPr>
      <w:adjustRightInd w:val="0"/>
      <w:snapToGrid w:val="0"/>
      <w:spacing w:line="480" w:lineRule="exact"/>
      <w:ind w:firstLine="560"/>
    </w:pPr>
    <w:rPr>
      <w:rFonts w:ascii="宋体" w:hAnsi="宋体"/>
      <w:snapToGrid w:val="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1707</Characters>
  <Lines>0</Lines>
  <Paragraphs>0</Paragraphs>
  <TotalTime>2</TotalTime>
  <ScaleCrop>false</ScaleCrop>
  <LinksUpToDate>false</LinksUpToDate>
  <CharactersWithSpaces>1824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2020-10-23T03:29:00Z</dcterms:created>
  <dc:creator>Ming Ge</dc:creator>
  <cp:lastModifiedBy>郭长全</cp:lastModifiedBy>
  <dcterms:modified xsi:type="dcterms:W3CDTF">2022-07-07T01:47:18Z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92B71B80BC66440DBBB26BF634964DD7</vt:lpwstr>
  </property>
</Properties>
</file>