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left="210" w:right="210"/>
        <w:jc w:val="center"/>
        <w:rPr>
          <w:rFonts w:ascii="宋体" w:hAnsi="宋体" w:eastAsia="宋体" w:cs="宋体"/>
          <w:sz w:val="44"/>
          <w:highlight w:val="none"/>
        </w:rPr>
      </w:pPr>
      <w:r>
        <w:rPr>
          <w:rFonts w:hint="eastAsia" w:ascii="宋体" w:hAnsi="宋体" w:eastAsia="宋体" w:cs="宋体"/>
          <w:sz w:val="44"/>
          <w:highlight w:val="none"/>
        </w:rPr>
        <w:t>采购人需求</w:t>
      </w:r>
      <w:r>
        <w:rPr>
          <w:rFonts w:hint="eastAsia" w:ascii="宋体" w:hAnsi="宋体" w:eastAsia="宋体" w:cs="宋体"/>
          <w:sz w:val="44"/>
          <w:highlight w:val="none"/>
        </w:rPr>
        <w:tab/>
      </w:r>
    </w:p>
    <w:p>
      <w:pPr>
        <w:spacing w:line="341" w:lineRule="auto"/>
        <w:ind w:firstLine="1620" w:firstLineChars="450"/>
        <w:rPr>
          <w:rFonts w:hint="eastAsia" w:ascii="黑体" w:hAnsi="黑体" w:eastAsia="黑体"/>
          <w:color w:val="000000"/>
          <w:sz w:val="36"/>
          <w:szCs w:val="36"/>
          <w:highlight w:val="none"/>
        </w:rPr>
      </w:pPr>
      <w:r>
        <w:rPr>
          <w:rFonts w:hint="eastAsia" w:ascii="黑体" w:hAnsi="黑体" w:eastAsia="黑体"/>
          <w:color w:val="000000"/>
          <w:sz w:val="36"/>
          <w:szCs w:val="36"/>
          <w:highlight w:val="none"/>
        </w:rPr>
        <w:t>饮食原材料的具体需求及技术参数</w:t>
      </w:r>
    </w:p>
    <w:p>
      <w:pPr>
        <w:spacing w:line="341" w:lineRule="auto"/>
        <w:jc w:val="both"/>
        <w:rPr>
          <w:rFonts w:hint="eastAsia" w:ascii="黑体" w:hAnsi="黑体" w:eastAsia="黑体"/>
          <w:color w:val="000000"/>
          <w:sz w:val="28"/>
          <w:szCs w:val="28"/>
          <w:highlight w:val="none"/>
        </w:rPr>
      </w:pPr>
    </w:p>
    <w:p>
      <w:pPr>
        <w:spacing w:line="341" w:lineRule="auto"/>
        <w:jc w:val="both"/>
        <w:rPr>
          <w:rFonts w:hint="eastAsia" w:ascii="黑体" w:hAnsi="黑体" w:eastAsia="黑体"/>
          <w:b/>
          <w:bCs/>
          <w:color w:val="000000"/>
          <w:sz w:val="28"/>
          <w:szCs w:val="28"/>
          <w:highlight w:val="none"/>
          <w:lang w:eastAsia="zh-CN"/>
        </w:rPr>
      </w:pPr>
      <w:r>
        <w:rPr>
          <w:rFonts w:hint="eastAsia" w:ascii="黑体" w:hAnsi="黑体" w:eastAsia="黑体"/>
          <w:b/>
          <w:bCs/>
          <w:color w:val="000000"/>
          <w:sz w:val="28"/>
          <w:szCs w:val="28"/>
          <w:highlight w:val="none"/>
        </w:rPr>
        <w:t>本项目所属行业为：</w:t>
      </w:r>
      <w:r>
        <w:rPr>
          <w:rFonts w:hint="eastAsia" w:ascii="黑体" w:hAnsi="黑体" w:eastAsia="黑体"/>
          <w:b/>
          <w:bCs/>
          <w:color w:val="000000"/>
          <w:sz w:val="28"/>
          <w:szCs w:val="28"/>
          <w:highlight w:val="none"/>
          <w:lang w:eastAsia="zh-CN"/>
        </w:rPr>
        <w:t>工业</w:t>
      </w:r>
      <w:bookmarkStart w:id="0" w:name="_GoBack"/>
      <w:bookmarkEnd w:id="0"/>
    </w:p>
    <w:p>
      <w:pPr>
        <w:numPr>
          <w:ilvl w:val="0"/>
          <w:numId w:val="1"/>
        </w:numPr>
        <w:spacing w:line="341" w:lineRule="auto"/>
        <w:rPr>
          <w:b/>
          <w:color w:val="000000"/>
          <w:sz w:val="24"/>
          <w:highlight w:val="none"/>
        </w:rPr>
      </w:pPr>
      <w:r>
        <w:rPr>
          <w:b/>
          <w:color w:val="000000"/>
          <w:sz w:val="24"/>
          <w:highlight w:val="none"/>
        </w:rPr>
        <w:t>采购原因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更好地为全校广大师生员工提供优质的餐饮服务，加大从源头采购商品的力度，减少中间流通环节，提升食品安全，降低大宗商品采购价格，优化饮食原材料供应商结构。根据国家招标采购相关文件精神，哈尔滨工业大学</w:t>
      </w:r>
      <w:r>
        <w:rPr>
          <w:rFonts w:hint="eastAsia" w:ascii="宋体" w:hAnsi="宋体" w:eastAsia="宋体" w:cs="宋体"/>
          <w:color w:val="000000"/>
          <w:sz w:val="24"/>
          <w:highlight w:val="none"/>
          <w:lang w:eastAsia="zh-CN"/>
        </w:rPr>
        <w:t>总务处</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后勤集团将对饮食原材料采购进行公开招标。</w:t>
      </w:r>
    </w:p>
    <w:p>
      <w:pPr>
        <w:numPr>
          <w:ilvl w:val="0"/>
          <w:numId w:val="1"/>
        </w:numPr>
        <w:spacing w:line="341" w:lineRule="auto"/>
        <w:rPr>
          <w:b/>
          <w:color w:val="000000"/>
          <w:sz w:val="24"/>
          <w:highlight w:val="none"/>
        </w:rPr>
      </w:pPr>
      <w:r>
        <w:rPr>
          <w:b/>
          <w:color w:val="000000"/>
          <w:sz w:val="24"/>
          <w:highlight w:val="none"/>
        </w:rPr>
        <w:t>采购数量</w:t>
      </w:r>
      <w:r>
        <w:rPr>
          <w:rFonts w:hint="eastAsia"/>
          <w:b/>
          <w:color w:val="000000"/>
          <w:sz w:val="24"/>
          <w:highlight w:val="none"/>
        </w:rPr>
        <w:t>及预算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豆制品</w:t>
      </w:r>
      <w:r>
        <w:rPr>
          <w:rFonts w:hint="eastAsia" w:ascii="宋体" w:hAnsi="宋体" w:eastAsia="宋体" w:cs="宋体"/>
          <w:color w:val="000000"/>
          <w:sz w:val="24"/>
          <w:highlight w:val="none"/>
        </w:rPr>
        <w:t>：约</w:t>
      </w:r>
      <w:r>
        <w:rPr>
          <w:rFonts w:hint="eastAsia" w:ascii="宋体" w:hAnsi="宋体" w:eastAsia="宋体" w:cs="宋体"/>
          <w:color w:val="000000"/>
          <w:sz w:val="24"/>
          <w:highlight w:val="none"/>
          <w:lang w:val="en-US" w:eastAsia="zh-CN"/>
        </w:rPr>
        <w:t>30</w:t>
      </w:r>
      <w:r>
        <w:rPr>
          <w:rFonts w:hint="eastAsia" w:ascii="宋体" w:hAnsi="宋体" w:eastAsia="宋体" w:cs="宋体"/>
          <w:color w:val="000000"/>
          <w:sz w:val="24"/>
          <w:highlight w:val="none"/>
        </w:rPr>
        <w:t>万公斤/年</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20万公斤/包，10万公斤/包，共计两包）</w:t>
      </w:r>
    </w:p>
    <w:p>
      <w:pPr>
        <w:widowControl/>
        <w:numPr>
          <w:ilvl w:val="0"/>
          <w:numId w:val="1"/>
        </w:numPr>
        <w:adjustRightInd w:val="0"/>
        <w:snapToGrid w:val="0"/>
        <w:spacing w:line="360" w:lineRule="auto"/>
        <w:jc w:val="left"/>
        <w:rPr>
          <w:b/>
          <w:color w:val="000000"/>
          <w:sz w:val="24"/>
          <w:highlight w:val="none"/>
        </w:rPr>
      </w:pPr>
      <w:r>
        <w:rPr>
          <w:b/>
          <w:color w:val="000000"/>
          <w:sz w:val="24"/>
          <w:highlight w:val="none"/>
        </w:rPr>
        <w:t>品类及技术要求：</w:t>
      </w:r>
    </w:p>
    <w:tbl>
      <w:tblPr>
        <w:tblStyle w:val="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66"/>
        <w:gridCol w:w="2484"/>
        <w:gridCol w:w="1750"/>
        <w:gridCol w:w="111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66" w:type="dxa"/>
            <w:noWrap w:val="0"/>
            <w:vAlign w:val="center"/>
          </w:tcPr>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2484" w:type="dxa"/>
            <w:noWrap w:val="0"/>
            <w:vAlign w:val="center"/>
          </w:tcPr>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w:t>
            </w:r>
          </w:p>
        </w:tc>
        <w:tc>
          <w:tcPr>
            <w:tcW w:w="1750" w:type="dxa"/>
            <w:noWrap w:val="0"/>
            <w:vAlign w:val="center"/>
          </w:tcPr>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参考采购量</w:t>
            </w:r>
          </w:p>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（余万公斤）</w:t>
            </w:r>
          </w:p>
        </w:tc>
        <w:tc>
          <w:tcPr>
            <w:tcW w:w="1116" w:type="dxa"/>
            <w:noWrap w:val="0"/>
            <w:vAlign w:val="center"/>
          </w:tcPr>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tc>
        <w:tc>
          <w:tcPr>
            <w:tcW w:w="949" w:type="dxa"/>
            <w:noWrap w:val="0"/>
            <w:vAlign w:val="center"/>
          </w:tcPr>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千页豆腐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5.7</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.7</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490g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日本豆腐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炸豆腐泡</w:t>
            </w:r>
          </w:p>
        </w:tc>
        <w:tc>
          <w:tcPr>
            <w:tcW w:w="2484" w:type="dxa"/>
            <w:noWrap w:val="0"/>
            <w:vAlign w:val="top"/>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内脂豆腐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干豆腐丝</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素鸡豆腐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9kg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豆腐干</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油豆腐皮</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GB/23494-2009</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干豆腐边</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干豆腐皮</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GB/T22106-2008</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6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娟豆腐</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400g</w:t>
            </w: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14" w:type="dxa"/>
            <w:noWrap w:val="0"/>
            <w:vAlign w:val="center"/>
          </w:tcPr>
          <w:p>
            <w:pPr>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766" w:type="dxa"/>
            <w:noWrap w:val="0"/>
            <w:vAlign w:val="center"/>
          </w:tcPr>
          <w:p>
            <w:pPr>
              <w:spacing w:line="5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2484"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GB4789-2016</w:t>
            </w:r>
          </w:p>
        </w:tc>
        <w:tc>
          <w:tcPr>
            <w:tcW w:w="1750" w:type="dxa"/>
            <w:noWrap w:val="0"/>
            <w:vAlign w:val="center"/>
          </w:tcPr>
          <w:p>
            <w:pPr>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6" w:type="dxa"/>
            <w:noWrap w:val="0"/>
            <w:vAlign w:val="center"/>
          </w:tcPr>
          <w:p>
            <w:pPr>
              <w:spacing w:line="560" w:lineRule="exact"/>
              <w:jc w:val="center"/>
              <w:rPr>
                <w:rFonts w:hint="eastAsia" w:ascii="宋体" w:hAnsi="宋体" w:eastAsia="宋体" w:cs="宋体"/>
                <w:color w:val="auto"/>
                <w:sz w:val="21"/>
                <w:szCs w:val="21"/>
                <w:highlight w:val="none"/>
              </w:rPr>
            </w:pPr>
          </w:p>
        </w:tc>
        <w:tc>
          <w:tcPr>
            <w:tcW w:w="949" w:type="dxa"/>
            <w:noWrap w:val="0"/>
            <w:vAlign w:val="top"/>
          </w:tcPr>
          <w:p>
            <w:pPr>
              <w:spacing w:line="560" w:lineRule="exact"/>
              <w:jc w:val="center"/>
              <w:rPr>
                <w:rFonts w:hint="eastAsia" w:ascii="宋体" w:hAnsi="宋体" w:eastAsia="宋体" w:cs="宋体"/>
                <w:color w:val="auto"/>
                <w:sz w:val="21"/>
                <w:szCs w:val="21"/>
                <w:highlight w:val="none"/>
              </w:rPr>
            </w:pPr>
          </w:p>
        </w:tc>
      </w:tr>
    </w:tbl>
    <w:p>
      <w:pPr>
        <w:pStyle w:val="4"/>
        <w:numPr>
          <w:ilvl w:val="0"/>
          <w:numId w:val="0"/>
        </w:numPr>
        <w:spacing w:line="341" w:lineRule="auto"/>
        <w:ind w:leftChars="0"/>
        <w:rPr>
          <w:b/>
          <w:color w:val="000000"/>
          <w:sz w:val="24"/>
          <w:highlight w:val="none"/>
        </w:rPr>
      </w:pPr>
    </w:p>
    <w:p>
      <w:pPr>
        <w:pStyle w:val="4"/>
        <w:numPr>
          <w:ilvl w:val="0"/>
          <w:numId w:val="1"/>
        </w:numPr>
        <w:spacing w:line="341" w:lineRule="auto"/>
        <w:ind w:firstLineChars="0"/>
        <w:rPr>
          <w:b/>
          <w:color w:val="000000"/>
          <w:sz w:val="24"/>
          <w:highlight w:val="none"/>
        </w:rPr>
      </w:pPr>
      <w:r>
        <w:rPr>
          <w:b/>
          <w:color w:val="000000"/>
          <w:sz w:val="24"/>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1、协议期内向订购的产品，其数量应根据采购人需要分次供应，每次供货数量以订单为准。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Hans"/>
        </w:rPr>
        <w:t>不得提供临近保质期、超过保质期的原料或距有效期不足二分之一的原料（如生产日期为1月1日，保质期为一年的产品，不得在同年7月1日之后提供）</w:t>
      </w:r>
      <w:r>
        <w:rPr>
          <w:rFonts w:hint="eastAsia" w:ascii="宋体" w:hAnsi="宋体" w:eastAsia="宋体" w:cs="宋体"/>
          <w:color w:val="00000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3、提供的产品应符合国家质量、食品卫生、食品安全标准和食品检验标准，并提供具有官方资质的相关检验部门出具的检疫或质量检验报告单。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rPr>
          <w:highlight w:val="none"/>
        </w:rPr>
      </w:pPr>
    </w:p>
    <w:p>
      <w:pPr>
        <w:spacing w:line="341" w:lineRule="auto"/>
        <w:rPr>
          <w:b/>
          <w:color w:val="000000"/>
          <w:sz w:val="24"/>
          <w:highlight w:val="none"/>
        </w:rPr>
      </w:pPr>
      <w:r>
        <w:rPr>
          <w:b/>
          <w:color w:val="000000"/>
          <w:sz w:val="24"/>
          <w:highlight w:val="none"/>
        </w:rPr>
        <w:t>五、售后及服务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1、能够准确提供本项目售后服务总负责人的姓名、职务、详细地址和联系方式。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2、承诺</w:t>
      </w:r>
      <w:r>
        <w:rPr>
          <w:rFonts w:hint="eastAsia" w:ascii="宋体" w:hAnsi="宋体" w:eastAsia="宋体" w:cs="宋体"/>
          <w:color w:val="000000"/>
          <w:sz w:val="24"/>
          <w:highlight w:val="none"/>
          <w:lang w:eastAsia="zh-CN"/>
        </w:rPr>
        <w:t>本项目</w:t>
      </w:r>
      <w:r>
        <w:rPr>
          <w:rFonts w:hint="eastAsia" w:ascii="宋体" w:hAnsi="宋体" w:eastAsia="宋体" w:cs="宋体"/>
          <w:color w:val="000000"/>
          <w:sz w:val="24"/>
          <w:highlight w:val="none"/>
        </w:rPr>
        <w:t>货物在质保期内因产品质量问题免费更换。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承诺本项目</w:t>
      </w:r>
      <w:r>
        <w:rPr>
          <w:rFonts w:hint="eastAsia" w:ascii="宋体" w:hAnsi="宋体" w:eastAsia="宋体" w:cs="宋体"/>
          <w:color w:val="000000"/>
          <w:sz w:val="24"/>
          <w:highlight w:val="none"/>
        </w:rPr>
        <w:t>定期用户回访，及时处理用户意见。质保期内在接到售后服务电话后</w:t>
      </w:r>
      <w:r>
        <w:rPr>
          <w:rFonts w:hint="eastAsia" w:ascii="宋体" w:hAnsi="宋体" w:eastAsia="宋体" w:cs="宋体"/>
          <w:color w:val="000000"/>
          <w:sz w:val="24"/>
          <w:highlight w:val="none"/>
          <w:lang w:eastAsia="zh-CN"/>
        </w:rPr>
        <w:t>半</w:t>
      </w:r>
      <w:r>
        <w:rPr>
          <w:rFonts w:hint="eastAsia" w:ascii="宋体" w:hAnsi="宋体" w:eastAsia="宋体" w:cs="宋体"/>
          <w:color w:val="000000"/>
          <w:sz w:val="24"/>
          <w:highlight w:val="none"/>
        </w:rPr>
        <w:t>小时内响应，</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小时内解决。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sz w:val="24"/>
          <w:highlight w:val="none"/>
        </w:rPr>
      </w:pPr>
      <w:r>
        <w:rPr>
          <w:rFonts w:hint="eastAsia" w:ascii="宋体" w:hAnsi="宋体" w:eastAsia="宋体" w:cs="宋体"/>
          <w:b/>
          <w:sz w:val="24"/>
          <w:highlight w:val="none"/>
        </w:rPr>
        <w:t>提醒：</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★1、以上采购需求不指向任何一种品牌或供应商，★项技术参数为重要技术指标，有1项不满足按投标无效处理。</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4、根据《财政部 发展改革委 生态环境部 市场监管总局 关于调整优化节能产品、环境标志产品政府采购执行机制的通知》（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★6、信息安全产品，需提供由中国信息安全认证中心按国家标准认证颁发的有效认证证书，应符合《关于信息安全产品实施政府采购的通知》（财库【2010】48号）要求。</w:t>
      </w:r>
    </w:p>
    <w:p>
      <w:pPr>
        <w:rPr>
          <w:rFonts w:ascii="宋体" w:hAnsi="宋体" w:eastAsia="宋体" w:cs="宋体"/>
          <w:highlight w:val="none"/>
        </w:rPr>
      </w:pPr>
      <w:r>
        <w:rPr>
          <w:rFonts w:hint="eastAsia" w:ascii="宋体" w:hAnsi="宋体" w:eastAsia="宋体" w:cs="宋体"/>
          <w:sz w:val="24"/>
          <w:highlight w:val="none"/>
        </w:rPr>
        <w:t>7、报价产品的各项技术指标不能低于国家强制性标准，否则投标无效。</w:t>
      </w:r>
    </w:p>
    <w:p>
      <w:pPr>
        <w:spacing w:line="360" w:lineRule="auto"/>
        <w:rPr>
          <w:rFonts w:ascii="宋体" w:hAnsi="宋体" w:eastAsia="宋体" w:cs="宋体"/>
          <w:sz w:val="24"/>
          <w:highlight w:val="none"/>
        </w:rPr>
      </w:pPr>
    </w:p>
    <w:p>
      <w:pPr>
        <w:keepNext/>
        <w:keepLines/>
        <w:spacing w:line="360" w:lineRule="auto"/>
        <w:rPr>
          <w:rFonts w:ascii="宋体" w:hAnsi="宋体" w:eastAsia="宋体" w:cs="宋体"/>
          <w:sz w:val="28"/>
          <w:highlight w:val="none"/>
        </w:rPr>
      </w:pPr>
      <w:r>
        <w:rPr>
          <w:rFonts w:hint="eastAsia" w:ascii="宋体" w:hAnsi="宋体" w:eastAsia="宋体" w:cs="宋体"/>
          <w:sz w:val="28"/>
          <w:highlight w:val="none"/>
        </w:rPr>
        <w:t>供应商应提供以下资格证明文件</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1★法人授权委托书（按招标文件要求格式签署）；</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2★被授权人身份证；</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3★法定代表人（单位负责人）身份证（如报名人为法定代表人（单位负责人），须提供本人的身份证）；</w:t>
      </w:r>
    </w:p>
    <w:p>
      <w:pPr>
        <w:tabs>
          <w:tab w:val="left" w:pos="1485"/>
        </w:tabs>
        <w:spacing w:line="360" w:lineRule="auto"/>
        <w:ind w:firstLine="480"/>
        <w:rPr>
          <w:rFonts w:ascii="宋体" w:hAnsi="宋体" w:eastAsia="宋体" w:cs="宋体"/>
          <w:sz w:val="24"/>
          <w:highlight w:val="none"/>
        </w:rPr>
      </w:pPr>
      <w:r>
        <w:rPr>
          <w:rFonts w:hint="eastAsia" w:ascii="宋体" w:hAnsi="宋体" w:eastAsia="宋体" w:cs="宋体"/>
          <w:sz w:val="24"/>
          <w:highlight w:val="none"/>
        </w:rPr>
        <w:t>4★营业执照；</w:t>
      </w:r>
      <w:r>
        <w:rPr>
          <w:rFonts w:hint="eastAsia" w:ascii="宋体" w:hAnsi="宋体" w:eastAsia="宋体" w:cs="宋体"/>
          <w:sz w:val="24"/>
          <w:highlight w:val="none"/>
        </w:rPr>
        <w:tab/>
      </w:r>
    </w:p>
    <w:p>
      <w:pPr>
        <w:spacing w:line="360" w:lineRule="auto"/>
        <w:ind w:firstLine="480"/>
        <w:jc w:val="left"/>
        <w:rPr>
          <w:rFonts w:ascii="宋体" w:hAnsi="宋体" w:eastAsia="宋体" w:cs="宋体"/>
          <w:sz w:val="24"/>
          <w:highlight w:val="none"/>
        </w:rPr>
      </w:pPr>
      <w:r>
        <w:rPr>
          <w:rFonts w:hint="eastAsia" w:ascii="宋体" w:hAnsi="宋体" w:eastAsia="宋体" w:cs="宋体"/>
          <w:sz w:val="24"/>
          <w:highlight w:val="none"/>
        </w:rPr>
        <w:t>5★基本账户开户许可证或基本存款账户信息单；</w:t>
      </w:r>
    </w:p>
    <w:p>
      <w:pPr>
        <w:tabs>
          <w:tab w:val="left" w:pos="1485"/>
        </w:tabs>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eastAsia="zh-CN"/>
        </w:rPr>
        <w:t>有效期内的《食品生产许可证》或《食品流通许可证》或《食品经营许可证》或以及适用于本项目的经营许可类证明材料</w:t>
      </w:r>
      <w:r>
        <w:rPr>
          <w:rFonts w:hint="eastAsia" w:ascii="宋体" w:hAnsi="宋体" w:eastAsia="宋体" w:cs="宋体"/>
          <w:sz w:val="24"/>
          <w:highlight w:val="none"/>
        </w:rPr>
        <w:tab/>
      </w:r>
    </w:p>
    <w:p>
      <w:pPr>
        <w:keepNext w:val="0"/>
        <w:keepLines w:val="0"/>
        <w:tabs>
          <w:tab w:val="left" w:pos="1485"/>
        </w:tabs>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授权委托人为本单位在职人员并提供任意2个月（2023年01月至2023年10月期间）缴纳职工基本养老保险的证明，缴纳养老保险证明须为在人力资源和社会保障网上的打印件并加盖企业公章，包括社保号、身份证号、密码等。（如为外籍供应商，无需此项要求）</w:t>
      </w:r>
    </w:p>
    <w:p>
      <w:pPr>
        <w:tabs>
          <w:tab w:val="left" w:pos="1485"/>
        </w:tabs>
        <w:spacing w:line="360" w:lineRule="auto"/>
        <w:ind w:firstLine="480"/>
        <w:rPr>
          <w:rFonts w:hint="eastAsia" w:ascii="宋体" w:hAnsi="宋体" w:eastAsia="宋体" w:cs="宋体"/>
          <w:spacing w:val="0"/>
          <w:sz w:val="24"/>
          <w:highlight w:val="none"/>
          <w:lang w:val="en-US"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w:t>
      </w:r>
      <w:r>
        <w:rPr>
          <w:rFonts w:hint="eastAsia" w:ascii="宋体" w:hAnsi="宋体" w:eastAsia="宋体" w:cs="宋体"/>
          <w:spacing w:val="0"/>
          <w:sz w:val="24"/>
          <w:highlight w:val="none"/>
          <w:lang w:val="en-US" w:eastAsia="zh-CN"/>
        </w:rPr>
        <w:t>第一标段：投标人需提供所投产品的销售业绩（可以是所投产品生产商的业绩），业绩要求如下：应为2021年1月1日至2023年11月30日以来任意年度内，所投产品销售数量在10万公斤（含10万公斤）以上。（提供业绩材料原件彩色扫描件，包含合同及供货清单、验收证明材料，其中合同及供货清单需体现采购数量或合同金额）。</w:t>
      </w:r>
    </w:p>
    <w:p>
      <w:pPr>
        <w:keepNext w:val="0"/>
        <w:keepLines w:val="0"/>
        <w:tabs>
          <w:tab w:val="left" w:pos="1485"/>
        </w:tabs>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pacing w:val="0"/>
          <w:sz w:val="24"/>
          <w:highlight w:val="none"/>
          <w:lang w:val="en-US" w:eastAsia="zh-CN"/>
        </w:rPr>
        <w:t>第二标段：投标人需提供所投产品的销售业绩（可以是所投产品生产商的业绩），业绩要求如下：应为2021年1月1日至2023年11月30日以来任意年度内，所投产品销售数量在5万公斤（含5万公斤）以上。（提供业绩材料原件彩色扫描件，包含合同及供货清单、验收证明材料，其中合同及供货清单需体现采购数量或合同金额）。</w:t>
      </w:r>
    </w:p>
    <w:p>
      <w:pPr>
        <w:keepNext/>
        <w:keepLines/>
        <w:spacing w:line="360" w:lineRule="auto"/>
        <w:rPr>
          <w:rFonts w:ascii="宋体" w:hAnsi="宋体" w:eastAsia="宋体" w:cs="宋体"/>
          <w:sz w:val="28"/>
          <w:highlight w:val="none"/>
        </w:rPr>
      </w:pPr>
      <w:r>
        <w:rPr>
          <w:rFonts w:hint="eastAsia" w:ascii="宋体" w:hAnsi="宋体" w:eastAsia="宋体" w:cs="宋体"/>
          <w:sz w:val="28"/>
          <w:highlight w:val="none"/>
        </w:rPr>
        <w:t>供应商应提供以下商务技术文件</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1★投标函</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2★开标一览表</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3★资格证明文件</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4其他需要提供的有效文件</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以上★号为必备条款，任一条不满足则视为投标无效。</w:t>
      </w:r>
    </w:p>
    <w:p>
      <w:pPr>
        <w:keepNext/>
        <w:keepLines/>
        <w:spacing w:before="120" w:after="120" w:line="360" w:lineRule="auto"/>
        <w:rPr>
          <w:rFonts w:ascii="宋体" w:hAnsi="宋体" w:eastAsia="宋体" w:cs="宋体"/>
          <w:sz w:val="28"/>
          <w:highlight w:val="none"/>
        </w:rPr>
      </w:pPr>
      <w:r>
        <w:rPr>
          <w:rFonts w:hint="eastAsia" w:ascii="宋体" w:hAnsi="宋体" w:eastAsia="宋体" w:cs="宋体"/>
          <w:sz w:val="28"/>
          <w:highlight w:val="none"/>
        </w:rPr>
        <w:t>其他</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与本项目招标相关的事务及澄清公告敬请关注招标公告发布媒介。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mI0ZjU3OGMwM2NkYTU0OTVhZDFiODk3NjM1YWIifQ=="/>
  </w:docVars>
  <w:rsids>
    <w:rsidRoot w:val="3C442115"/>
    <w:rsid w:val="3C44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2023-12-12T08:49:00Z</dcterms:created>
  <dc:creator>吴某人</dc:creator>
  <cp:lastModifiedBy>吴某人</cp:lastModifiedBy>
  <dcterms:modified xsi:type="dcterms:W3CDTF">2023-12-12T08:49:56Z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AA6C251898C047E0B6130F05FE5EDD33_11</vt:lpwstr>
  </property>
</Properties>
</file>