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lang w:val="en-US" w:eastAsia="zh-CN"/>
        </w:rPr>
        <w:t>一、</w:t>
      </w:r>
      <w:r>
        <w:rPr>
          <w:rFonts w:hint="eastAsia" w:ascii="宋体" w:hAnsi="宋体"/>
          <w:b/>
          <w:color w:val="auto"/>
          <w:sz w:val="24"/>
          <w:highlight w:val="none"/>
        </w:rPr>
        <w:t>招标范围</w:t>
      </w:r>
    </w:p>
    <w:tbl>
      <w:tblPr>
        <w:tblStyle w:val="4"/>
        <w:tblW w:w="4811" w:type="pct"/>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432"/>
        <w:gridCol w:w="2467"/>
        <w:gridCol w:w="3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38" w:type="pct"/>
            <w:noWrap w:val="0"/>
            <w:vAlign w:val="center"/>
          </w:tcPr>
          <w:p>
            <w:pPr>
              <w:pStyle w:val="6"/>
              <w:jc w:val="center"/>
              <w:rPr>
                <w:color w:val="auto"/>
                <w:highlight w:val="none"/>
              </w:rPr>
            </w:pPr>
            <w:r>
              <w:rPr>
                <w:rFonts w:hint="eastAsia"/>
                <w:color w:val="auto"/>
                <w:highlight w:val="none"/>
                <w:lang w:val="en-US" w:eastAsia="zh-CN"/>
              </w:rPr>
              <w:t>包</w:t>
            </w:r>
            <w:r>
              <w:rPr>
                <w:rFonts w:hint="eastAsia"/>
                <w:color w:val="auto"/>
                <w:highlight w:val="none"/>
              </w:rPr>
              <w:t>号</w:t>
            </w:r>
          </w:p>
        </w:tc>
        <w:tc>
          <w:tcPr>
            <w:tcW w:w="873" w:type="pct"/>
            <w:noWrap w:val="0"/>
            <w:vAlign w:val="center"/>
          </w:tcPr>
          <w:p>
            <w:pPr>
              <w:pStyle w:val="6"/>
              <w:jc w:val="center"/>
              <w:rPr>
                <w:color w:val="auto"/>
                <w:highlight w:val="none"/>
              </w:rPr>
            </w:pPr>
            <w:r>
              <w:rPr>
                <w:rFonts w:hint="eastAsia"/>
                <w:color w:val="auto"/>
                <w:highlight w:val="none"/>
              </w:rPr>
              <w:t>名称</w:t>
            </w:r>
          </w:p>
        </w:tc>
        <w:tc>
          <w:tcPr>
            <w:tcW w:w="1504" w:type="pct"/>
            <w:noWrap w:val="0"/>
            <w:vAlign w:val="center"/>
          </w:tcPr>
          <w:p>
            <w:pPr>
              <w:pStyle w:val="6"/>
              <w:jc w:val="center"/>
              <w:rPr>
                <w:color w:val="auto"/>
                <w:highlight w:val="none"/>
              </w:rPr>
            </w:pPr>
            <w:r>
              <w:rPr>
                <w:rFonts w:hint="eastAsia"/>
                <w:color w:val="auto"/>
                <w:highlight w:val="none"/>
              </w:rPr>
              <w:t>数量</w:t>
            </w:r>
          </w:p>
        </w:tc>
        <w:tc>
          <w:tcPr>
            <w:tcW w:w="2183" w:type="pct"/>
            <w:noWrap w:val="0"/>
            <w:vAlign w:val="center"/>
          </w:tcPr>
          <w:p>
            <w:pPr>
              <w:pStyle w:val="6"/>
              <w:jc w:val="center"/>
              <w:rPr>
                <w:rFonts w:hint="default" w:eastAsia="宋体"/>
                <w:color w:val="auto"/>
                <w:highlight w:val="none"/>
                <w:lang w:val="en-US" w:eastAsia="zh-CN"/>
              </w:rPr>
            </w:pPr>
            <w:r>
              <w:rPr>
                <w:rFonts w:hint="eastAsia"/>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438" w:type="pct"/>
            <w:noWrap w:val="0"/>
            <w:vAlign w:val="center"/>
          </w:tcPr>
          <w:p>
            <w:pPr>
              <w:pStyle w:val="6"/>
              <w:jc w:val="center"/>
              <w:rPr>
                <w:rFonts w:hint="eastAsia"/>
                <w:color w:val="auto"/>
                <w:highlight w:val="none"/>
              </w:rPr>
            </w:pPr>
            <w:r>
              <w:rPr>
                <w:rFonts w:hint="eastAsia"/>
                <w:color w:val="auto"/>
                <w:highlight w:val="none"/>
              </w:rPr>
              <w:t>1</w:t>
            </w:r>
          </w:p>
        </w:tc>
        <w:tc>
          <w:tcPr>
            <w:tcW w:w="873" w:type="pct"/>
            <w:noWrap w:val="0"/>
            <w:vAlign w:val="center"/>
          </w:tcPr>
          <w:p>
            <w:pPr>
              <w:pStyle w:val="6"/>
              <w:jc w:val="center"/>
              <w:rPr>
                <w:rFonts w:hint="eastAsia"/>
                <w:color w:val="auto"/>
                <w:highlight w:val="none"/>
              </w:rPr>
            </w:pPr>
            <w:r>
              <w:rPr>
                <w:rFonts w:hint="eastAsia"/>
                <w:color w:val="auto"/>
                <w:highlight w:val="none"/>
              </w:rPr>
              <w:t>冷冻鸭产品</w:t>
            </w:r>
          </w:p>
        </w:tc>
        <w:tc>
          <w:tcPr>
            <w:tcW w:w="1504" w:type="pct"/>
            <w:noWrap w:val="0"/>
            <w:vAlign w:val="center"/>
          </w:tcPr>
          <w:p>
            <w:pPr>
              <w:pStyle w:val="6"/>
              <w:jc w:val="center"/>
              <w:rPr>
                <w:color w:val="auto"/>
                <w:highlight w:val="none"/>
              </w:rPr>
            </w:pPr>
            <w:r>
              <w:rPr>
                <w:rFonts w:hint="eastAsia"/>
                <w:color w:val="auto"/>
                <w:highlight w:val="none"/>
              </w:rPr>
              <w:t>用量约为5万公斤/年</w:t>
            </w:r>
          </w:p>
        </w:tc>
        <w:tc>
          <w:tcPr>
            <w:tcW w:w="2183" w:type="pct"/>
            <w:vMerge w:val="restart"/>
            <w:noWrap w:val="0"/>
            <w:vAlign w:val="center"/>
          </w:tcPr>
          <w:p>
            <w:pPr>
              <w:pStyle w:val="6"/>
              <w:numPr>
                <w:ilvl w:val="0"/>
                <w:numId w:val="0"/>
              </w:numPr>
              <w:jc w:val="left"/>
              <w:rPr>
                <w:rFonts w:hint="eastAsia"/>
                <w:color w:val="auto"/>
                <w:sz w:val="24"/>
                <w:highlight w:val="none"/>
                <w:lang w:val="en-US" w:eastAsia="zh-CN"/>
              </w:rPr>
            </w:pPr>
            <w:r>
              <w:rPr>
                <w:rFonts w:hint="eastAsia"/>
                <w:color w:val="auto"/>
                <w:sz w:val="24"/>
                <w:highlight w:val="none"/>
                <w:lang w:val="en-US" w:eastAsia="zh-CN"/>
              </w:rPr>
              <w:t>投标人报价时按折扣率报价（最高折扣率不得超过 100%）</w:t>
            </w:r>
          </w:p>
          <w:p>
            <w:pPr>
              <w:pStyle w:val="6"/>
              <w:jc w:val="left"/>
              <w:rPr>
                <w:color w:val="auto"/>
                <w:highlight w:val="none"/>
              </w:rPr>
            </w:pPr>
            <w:r>
              <w:rPr>
                <w:rFonts w:hint="eastAsia"/>
                <w:color w:val="auto"/>
                <w:sz w:val="24"/>
                <w:highlight w:val="none"/>
                <w:lang w:val="en-US" w:eastAsia="zh-CN"/>
              </w:rPr>
              <w:t>（本项目折扣是指以采购商品京东生鲜指导价为价格基数，投标人给予单价总体调整的比例，最终单价即为：价格基数×折扣率，本次报价只报折扣率，不需报价格基数及单价。例如：折扣率为80%，即为打八折,所有产品为统一报价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38" w:type="pct"/>
            <w:noWrap w:val="0"/>
            <w:vAlign w:val="center"/>
          </w:tcPr>
          <w:p>
            <w:pPr>
              <w:pStyle w:val="6"/>
              <w:jc w:val="center"/>
              <w:rPr>
                <w:rFonts w:hint="eastAsia" w:eastAsia="宋体"/>
                <w:color w:val="auto"/>
                <w:highlight w:val="none"/>
                <w:lang w:val="en-US" w:eastAsia="zh-CN"/>
              </w:rPr>
            </w:pPr>
            <w:r>
              <w:rPr>
                <w:rFonts w:hint="eastAsia"/>
                <w:color w:val="auto"/>
                <w:highlight w:val="none"/>
                <w:lang w:val="en-US" w:eastAsia="zh-CN"/>
              </w:rPr>
              <w:t>2</w:t>
            </w:r>
          </w:p>
        </w:tc>
        <w:tc>
          <w:tcPr>
            <w:tcW w:w="873" w:type="pct"/>
            <w:noWrap w:val="0"/>
            <w:vAlign w:val="center"/>
          </w:tcPr>
          <w:p>
            <w:pPr>
              <w:pStyle w:val="6"/>
              <w:jc w:val="center"/>
              <w:rPr>
                <w:rFonts w:hint="eastAsia"/>
                <w:color w:val="auto"/>
                <w:highlight w:val="none"/>
              </w:rPr>
            </w:pPr>
            <w:r>
              <w:rPr>
                <w:rFonts w:hint="eastAsia"/>
                <w:color w:val="auto"/>
                <w:highlight w:val="none"/>
              </w:rPr>
              <w:t>冷冻鸭产品</w:t>
            </w:r>
          </w:p>
        </w:tc>
        <w:tc>
          <w:tcPr>
            <w:tcW w:w="1504" w:type="pct"/>
            <w:noWrap w:val="0"/>
            <w:vAlign w:val="center"/>
          </w:tcPr>
          <w:p>
            <w:pPr>
              <w:pStyle w:val="6"/>
              <w:jc w:val="center"/>
              <w:rPr>
                <w:rFonts w:hint="eastAsia"/>
                <w:color w:val="auto"/>
                <w:highlight w:val="none"/>
              </w:rPr>
            </w:pPr>
            <w:r>
              <w:rPr>
                <w:rFonts w:hint="eastAsia"/>
                <w:color w:val="auto"/>
                <w:highlight w:val="none"/>
              </w:rPr>
              <w:t>用量约为5万公斤/年</w:t>
            </w:r>
          </w:p>
        </w:tc>
        <w:tc>
          <w:tcPr>
            <w:tcW w:w="2183" w:type="pct"/>
            <w:vMerge w:val="continue"/>
            <w:noWrap w:val="0"/>
            <w:vAlign w:val="center"/>
          </w:tcPr>
          <w:p>
            <w:pPr>
              <w:pStyle w:val="6"/>
              <w:jc w:val="center"/>
              <w:rPr>
                <w:color w:val="auto"/>
                <w:highlight w:val="none"/>
              </w:rPr>
            </w:pPr>
          </w:p>
        </w:tc>
      </w:tr>
    </w:tbl>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二、包一、包二</w:t>
      </w:r>
      <w:r>
        <w:rPr>
          <w:rFonts w:hint="eastAsia" w:ascii="宋体" w:hAnsi="宋体" w:cs="宋体"/>
          <w:b/>
          <w:bCs/>
          <w:color w:val="auto"/>
          <w:sz w:val="24"/>
          <w:highlight w:val="none"/>
        </w:rPr>
        <w:t>招标需求</w:t>
      </w:r>
    </w:p>
    <w:tbl>
      <w:tblPr>
        <w:tblStyle w:val="4"/>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609"/>
        <w:gridCol w:w="1595"/>
        <w:gridCol w:w="1541"/>
        <w:gridCol w:w="1300"/>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14"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09"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品名</w:t>
            </w:r>
          </w:p>
        </w:tc>
        <w:tc>
          <w:tcPr>
            <w:tcW w:w="1595"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标准</w:t>
            </w:r>
          </w:p>
        </w:tc>
        <w:tc>
          <w:tcPr>
            <w:tcW w:w="1541"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参考采购量（余万公斤）</w:t>
            </w:r>
          </w:p>
        </w:tc>
        <w:tc>
          <w:tcPr>
            <w:tcW w:w="1300"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规格</w:t>
            </w:r>
          </w:p>
        </w:tc>
        <w:tc>
          <w:tcPr>
            <w:tcW w:w="1546"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4"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609"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冻大鸭子</w:t>
            </w:r>
          </w:p>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（樱桃谷鸭）</w:t>
            </w:r>
          </w:p>
        </w:tc>
        <w:tc>
          <w:tcPr>
            <w:tcW w:w="1595"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 xml:space="preserve">GB2707-2016 </w:t>
            </w:r>
          </w:p>
        </w:tc>
        <w:tc>
          <w:tcPr>
            <w:tcW w:w="1541"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 xml:space="preserve">6.24 </w:t>
            </w:r>
          </w:p>
        </w:tc>
        <w:tc>
          <w:tcPr>
            <w:tcW w:w="1300" w:type="dxa"/>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约1.4kg/只，14kg/件</w:t>
            </w:r>
          </w:p>
        </w:tc>
        <w:tc>
          <w:tcPr>
            <w:tcW w:w="1546" w:type="dxa"/>
            <w:vMerge w:val="restart"/>
            <w:noWrap w:val="0"/>
            <w:vAlign w:val="center"/>
          </w:tcPr>
          <w:p>
            <w:pPr>
              <w:spacing w:line="560" w:lineRule="exact"/>
              <w:jc w:val="left"/>
              <w:rPr>
                <w:rFonts w:hint="eastAsia" w:ascii="宋体" w:hAnsi="宋体" w:eastAsia="宋体" w:cs="宋体"/>
                <w:sz w:val="24"/>
                <w:szCs w:val="24"/>
              </w:rPr>
            </w:pPr>
            <w:r>
              <w:rPr>
                <w:rFonts w:hint="eastAsia" w:ascii="宋体" w:hAnsi="宋体" w:eastAsia="宋体" w:cs="宋体"/>
                <w:sz w:val="24"/>
                <w:szCs w:val="24"/>
              </w:rPr>
              <w:t>具有产品应有的色泽，肉质紧密，有轻微弹性，油脂分布均匀，无异味，无肉眼可见外来异物。无冰。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4"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609"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冻半片鸭</w:t>
            </w:r>
          </w:p>
        </w:tc>
        <w:tc>
          <w:tcPr>
            <w:tcW w:w="1595"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GB2707-2016</w:t>
            </w:r>
          </w:p>
        </w:tc>
        <w:tc>
          <w:tcPr>
            <w:tcW w:w="1541"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 xml:space="preserve">1.41 </w:t>
            </w:r>
          </w:p>
        </w:tc>
        <w:tc>
          <w:tcPr>
            <w:tcW w:w="1300" w:type="dxa"/>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9.5kg</w:t>
            </w:r>
          </w:p>
        </w:tc>
        <w:tc>
          <w:tcPr>
            <w:tcW w:w="1546" w:type="dxa"/>
            <w:vMerge w:val="continue"/>
            <w:noWrap w:val="0"/>
            <w:vAlign w:val="center"/>
          </w:tcPr>
          <w:p>
            <w:pPr>
              <w:spacing w:line="56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4"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609"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单冻鸭胸肉</w:t>
            </w:r>
          </w:p>
        </w:tc>
        <w:tc>
          <w:tcPr>
            <w:tcW w:w="1595"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GB2707-2016</w:t>
            </w:r>
          </w:p>
        </w:tc>
        <w:tc>
          <w:tcPr>
            <w:tcW w:w="1541"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 xml:space="preserve">0.92 </w:t>
            </w:r>
          </w:p>
        </w:tc>
        <w:tc>
          <w:tcPr>
            <w:tcW w:w="1300"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约240g-260g/个，10kg/件</w:t>
            </w:r>
          </w:p>
        </w:tc>
        <w:tc>
          <w:tcPr>
            <w:tcW w:w="1546" w:type="dxa"/>
            <w:vMerge w:val="continue"/>
            <w:noWrap w:val="0"/>
            <w:vAlign w:val="center"/>
          </w:tcPr>
          <w:p>
            <w:pPr>
              <w:spacing w:line="5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4"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609"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冻去皮鸭胸肉</w:t>
            </w:r>
          </w:p>
        </w:tc>
        <w:tc>
          <w:tcPr>
            <w:tcW w:w="1595"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GB2707-2016</w:t>
            </w:r>
          </w:p>
        </w:tc>
        <w:tc>
          <w:tcPr>
            <w:tcW w:w="1541"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 xml:space="preserve">0.49 </w:t>
            </w:r>
          </w:p>
        </w:tc>
        <w:tc>
          <w:tcPr>
            <w:tcW w:w="1300"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约240g-260g/个，20kg/件</w:t>
            </w:r>
          </w:p>
        </w:tc>
        <w:tc>
          <w:tcPr>
            <w:tcW w:w="1546" w:type="dxa"/>
            <w:vMerge w:val="continue"/>
            <w:noWrap w:val="0"/>
            <w:vAlign w:val="center"/>
          </w:tcPr>
          <w:p>
            <w:pPr>
              <w:spacing w:line="5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4"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1609"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冻鸭腿</w:t>
            </w:r>
          </w:p>
        </w:tc>
        <w:tc>
          <w:tcPr>
            <w:tcW w:w="1595"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GB2707-2016</w:t>
            </w:r>
          </w:p>
        </w:tc>
        <w:tc>
          <w:tcPr>
            <w:tcW w:w="1541"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 xml:space="preserve">0.71 </w:t>
            </w:r>
          </w:p>
        </w:tc>
        <w:tc>
          <w:tcPr>
            <w:tcW w:w="1300"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8kg　</w:t>
            </w:r>
          </w:p>
        </w:tc>
        <w:tc>
          <w:tcPr>
            <w:tcW w:w="1546" w:type="dxa"/>
            <w:vMerge w:val="continue"/>
            <w:noWrap w:val="0"/>
            <w:vAlign w:val="center"/>
          </w:tcPr>
          <w:p>
            <w:pPr>
              <w:spacing w:line="5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4"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1609"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其他</w:t>
            </w:r>
          </w:p>
        </w:tc>
        <w:tc>
          <w:tcPr>
            <w:tcW w:w="159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GB2707-2016</w:t>
            </w:r>
          </w:p>
        </w:tc>
        <w:tc>
          <w:tcPr>
            <w:tcW w:w="1541"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0.05</w:t>
            </w:r>
          </w:p>
        </w:tc>
        <w:tc>
          <w:tcPr>
            <w:tcW w:w="1300" w:type="dxa"/>
            <w:noWrap/>
            <w:vAlign w:val="center"/>
          </w:tcPr>
          <w:p>
            <w:pPr>
              <w:spacing w:line="560" w:lineRule="exact"/>
              <w:jc w:val="center"/>
              <w:rPr>
                <w:rFonts w:hint="eastAsia" w:ascii="宋体" w:hAnsi="宋体" w:eastAsia="宋体" w:cs="宋体"/>
                <w:sz w:val="24"/>
                <w:szCs w:val="24"/>
              </w:rPr>
            </w:pPr>
          </w:p>
        </w:tc>
        <w:tc>
          <w:tcPr>
            <w:tcW w:w="1546" w:type="dxa"/>
            <w:vMerge w:val="continue"/>
            <w:noWrap w:val="0"/>
            <w:vAlign w:val="center"/>
          </w:tcPr>
          <w:p>
            <w:pPr>
              <w:spacing w:line="560" w:lineRule="exact"/>
              <w:jc w:val="center"/>
              <w:rPr>
                <w:rFonts w:hint="eastAsia" w:ascii="宋体" w:hAnsi="宋体" w:eastAsia="宋体" w:cs="宋体"/>
                <w:sz w:val="24"/>
                <w:szCs w:val="24"/>
              </w:rPr>
            </w:pPr>
          </w:p>
        </w:tc>
      </w:tr>
    </w:tbl>
    <w:p>
      <w:pPr>
        <w:spacing w:line="360" w:lineRule="auto"/>
        <w:ind w:firstLine="482" w:firstLineChars="200"/>
        <w:rPr>
          <w:rFonts w:hint="eastAsia" w:ascii="宋体" w:hAnsi="宋体"/>
          <w:b/>
          <w:color w:val="auto"/>
          <w:sz w:val="24"/>
          <w:highlight w:val="none"/>
          <w:lang w:val="en-US" w:eastAsia="zh-CN"/>
        </w:rPr>
      </w:pPr>
      <w:bookmarkStart w:id="0" w:name="_Toc351466512"/>
      <w:bookmarkStart w:id="1" w:name="_Toc15794"/>
    </w:p>
    <w:p>
      <w:pPr>
        <w:spacing w:line="360" w:lineRule="auto"/>
        <w:ind w:firstLine="482" w:firstLineChars="200"/>
        <w:rPr>
          <w:rFonts w:hint="eastAsia" w:ascii="宋体" w:hAnsi="宋体"/>
          <w:b/>
          <w:color w:val="auto"/>
          <w:sz w:val="24"/>
          <w:highlight w:val="none"/>
        </w:rPr>
      </w:pPr>
      <w:bookmarkStart w:id="2" w:name="_GoBack"/>
      <w:bookmarkEnd w:id="2"/>
      <w:r>
        <w:rPr>
          <w:rFonts w:hint="eastAsia" w:ascii="宋体" w:hAnsi="宋体"/>
          <w:b/>
          <w:color w:val="auto"/>
          <w:sz w:val="24"/>
          <w:highlight w:val="none"/>
          <w:lang w:val="en-US" w:eastAsia="zh-CN"/>
        </w:rPr>
        <w:t>三、</w:t>
      </w:r>
      <w:r>
        <w:rPr>
          <w:rFonts w:hint="eastAsia"/>
          <w:b/>
          <w:color w:val="000000"/>
          <w:sz w:val="24"/>
        </w:rPr>
        <w:t>采购标的需满足的服务标准、期限、效率等要</w:t>
      </w:r>
      <w:r>
        <w:rPr>
          <w:rFonts w:hint="eastAsia" w:ascii="宋体" w:hAnsi="宋体"/>
          <w:b/>
          <w:color w:val="auto"/>
          <w:sz w:val="24"/>
          <w:highlight w:val="none"/>
        </w:rPr>
        <w:t xml:space="preserve">求 </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1、协议期内订购的产品，其数量应根据采购人需要分次供应，每次供货数量以订单为准。</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2、不得提供临近保质期和超过保质期的原料，有效期应在产品出厂日期至保质期的二分之一时间范围内。</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3、提供的产品应符合国家质量、食品卫生、食品安全标准和食品检验标准，并提供具有官方资质的相关检验部门出具的检疫或质量检验报告单。</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提供的产品必须符合《食品安全法》、《食品安全法实施条例》、《餐饮服务食品安全监督管理办法》及国务院办公厅《关于严厉打击食品非法添加行为切实加强食品添加剂监管的通知》等及其他相关法律法规要求，并保证所供应的产品不存在非法添加和滥用食品添加剂及食品添加剂超标的行为。</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5、服务期限：本次项目服务期限为一年。</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投标人配送车辆要密封完好，保证清洁、无污染，其中冷冻产品运输车辆须为冷链食品专用车辆，避免原材料因高温变质；预包装产品标识要符合国家标准并进行密封，避免卸货防疫消杀时二次污染原材料。运输车辆必须有商业险，其中第三者责任保险金额不低于100万元；</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7、所提供的产品重量计算应为净重（按公斤计算）。</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8、冷冻鸭产品：每次送货需要提供批次检验报告、批次核酸检验报告单。                      </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9、投标人首次供货前要提供样品，与招标人共同确认，之后供货要与提供的样品标准一致，如出现标准不符或质量问题要无条件退换货。</w:t>
      </w:r>
    </w:p>
    <w:p>
      <w:pPr>
        <w:spacing w:line="360" w:lineRule="auto"/>
        <w:ind w:firstLine="432" w:firstLineChars="180"/>
        <w:rPr>
          <w:rFonts w:hint="eastAsia"/>
          <w:color w:val="auto"/>
          <w:highlight w:val="none"/>
        </w:rPr>
      </w:pPr>
      <w:r>
        <w:rPr>
          <w:rFonts w:hint="eastAsia" w:ascii="宋体" w:hAnsi="宋体" w:eastAsia="宋体" w:cs="Times New Roman"/>
          <w:color w:val="auto"/>
          <w:sz w:val="24"/>
          <w:highlight w:val="none"/>
        </w:rPr>
        <w:t>10、冷冻产品投标人须具备针对本采购项目的冷库。</w:t>
      </w:r>
    </w:p>
    <w:bookmarkEnd w:id="0"/>
    <w:bookmarkEnd w:id="1"/>
    <w:p>
      <w:pPr>
        <w:pStyle w:val="3"/>
        <w:spacing w:line="360" w:lineRule="auto"/>
        <w:ind w:firstLine="482" w:firstLineChars="200"/>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四、售后及服务</w:t>
      </w:r>
    </w:p>
    <w:p>
      <w:pPr>
        <w:spacing w:line="400" w:lineRule="exact"/>
        <w:ind w:firstLine="480" w:firstLineChars="200"/>
        <w:rPr>
          <w:sz w:val="24"/>
        </w:rPr>
      </w:pPr>
      <w:r>
        <w:rPr>
          <w:rFonts w:hint="eastAsia"/>
          <w:sz w:val="24"/>
        </w:rPr>
        <w:t>1、</w:t>
      </w:r>
      <w:r>
        <w:rPr>
          <w:sz w:val="24"/>
        </w:rPr>
        <w:t>能够准确提供本项目售后服务总负责人的姓名、职务、详细地址和联系方式。</w:t>
      </w:r>
    </w:p>
    <w:p>
      <w:pPr>
        <w:spacing w:line="400" w:lineRule="exact"/>
        <w:ind w:firstLine="480" w:firstLineChars="200"/>
        <w:rPr>
          <w:sz w:val="24"/>
        </w:rPr>
      </w:pPr>
      <w:r>
        <w:rPr>
          <w:rFonts w:hint="eastAsia"/>
          <w:sz w:val="24"/>
        </w:rPr>
        <w:t>2、</w:t>
      </w:r>
      <w:r>
        <w:rPr>
          <w:sz w:val="24"/>
        </w:rPr>
        <w:t>能够准确提供投标人在供货地点城市的本地化服务机构（及售后服务网点明细）及相关证明材料。</w:t>
      </w:r>
    </w:p>
    <w:p>
      <w:pPr>
        <w:spacing w:line="400" w:lineRule="exact"/>
        <w:ind w:firstLine="480" w:firstLineChars="200"/>
        <w:rPr>
          <w:sz w:val="24"/>
        </w:rPr>
      </w:pPr>
      <w:r>
        <w:rPr>
          <w:sz w:val="24"/>
        </w:rPr>
        <w:t>3、承诺所投货物在质保期内因产品质量问题投标供应商负责免费更换。</w:t>
      </w:r>
    </w:p>
    <w:p>
      <w:pPr>
        <w:spacing w:line="360" w:lineRule="auto"/>
        <w:ind w:firstLine="480" w:firstLineChars="200"/>
        <w:rPr>
          <w:rFonts w:ascii="宋体" w:hAnsi="宋体" w:cs="宋体"/>
          <w:sz w:val="24"/>
        </w:rPr>
      </w:pPr>
      <w:r>
        <w:rPr>
          <w:rFonts w:hint="eastAsia" w:ascii="宋体" w:hAnsi="宋体" w:cs="宋体"/>
          <w:sz w:val="24"/>
        </w:rPr>
        <w:t>4、投标人能够承诺在接到售后服务电话后2小时内到场响应，8小时内解决问题。</w:t>
      </w:r>
    </w:p>
    <w:p>
      <w:pPr>
        <w:spacing w:line="360" w:lineRule="auto"/>
        <w:ind w:firstLine="480" w:firstLineChars="200"/>
        <w:rPr>
          <w:rFonts w:hint="eastAsia" w:ascii="宋体" w:hAnsi="宋体" w:cs="宋体"/>
          <w:sz w:val="24"/>
        </w:rPr>
      </w:pPr>
      <w:r>
        <w:rPr>
          <w:rFonts w:hint="eastAsia" w:ascii="宋体" w:hAnsi="宋体" w:cs="宋体"/>
          <w:sz w:val="24"/>
        </w:rPr>
        <w:t>5、投标人应提供突发事件处置方案，避免因突发事件导致供货不及时，延误招标人使用。</w:t>
      </w:r>
    </w:p>
    <w:p>
      <w:pPr>
        <w:pStyle w:val="3"/>
        <w:spacing w:line="360" w:lineRule="auto"/>
        <w:ind w:firstLine="482" w:firstLineChars="200"/>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五、市场调研范围</w:t>
      </w:r>
    </w:p>
    <w:p>
      <w:pPr>
        <w:spacing w:line="400" w:lineRule="exact"/>
        <w:ind w:firstLine="480" w:firstLineChars="200"/>
        <w:rPr>
          <w:sz w:val="24"/>
        </w:rPr>
      </w:pPr>
      <w:r>
        <w:rPr>
          <w:rFonts w:hint="eastAsia"/>
          <w:sz w:val="24"/>
        </w:rPr>
        <w:t>冷冻鸭产品：南极市场、江北润恒市场、市区农贸市场。</w:t>
      </w:r>
    </w:p>
    <w:p>
      <w:pPr>
        <w:spacing w:line="341" w:lineRule="auto"/>
        <w:ind w:firstLine="482" w:firstLineChars="200"/>
        <w:rPr>
          <w:b/>
          <w:color w:val="000000"/>
          <w:sz w:val="24"/>
        </w:rPr>
      </w:pPr>
      <w:r>
        <w:rPr>
          <w:rFonts w:hint="eastAsia" w:ascii="宋体" w:hAnsi="宋体" w:eastAsia="宋体" w:cs="Times New Roman"/>
          <w:b/>
          <w:bCs w:val="0"/>
          <w:color w:val="auto"/>
          <w:kern w:val="2"/>
          <w:sz w:val="24"/>
          <w:szCs w:val="24"/>
          <w:highlight w:val="none"/>
          <w:lang w:val="en-US" w:eastAsia="zh-CN" w:bidi="ar-SA"/>
        </w:rPr>
        <w:t>六、</w:t>
      </w:r>
      <w:r>
        <w:rPr>
          <w:rFonts w:hint="eastAsia"/>
          <w:b/>
          <w:color w:val="000000"/>
          <w:sz w:val="24"/>
        </w:rPr>
        <w:t>报帐和结算</w:t>
      </w:r>
    </w:p>
    <w:p>
      <w:pPr>
        <w:spacing w:line="400" w:lineRule="exact"/>
        <w:ind w:firstLine="480" w:firstLineChars="200"/>
        <w:rPr>
          <w:sz w:val="24"/>
        </w:rPr>
      </w:pPr>
      <w:r>
        <w:rPr>
          <w:rFonts w:hint="eastAsia"/>
          <w:sz w:val="24"/>
        </w:rPr>
        <w:t>1、乙方需提供符合国家规定的税务发票。</w:t>
      </w:r>
    </w:p>
    <w:p>
      <w:pPr>
        <w:spacing w:line="400" w:lineRule="exact"/>
        <w:ind w:firstLine="480" w:firstLineChars="200"/>
        <w:rPr>
          <w:sz w:val="24"/>
        </w:rPr>
      </w:pPr>
      <w:r>
        <w:rPr>
          <w:rFonts w:hint="eastAsia"/>
          <w:sz w:val="24"/>
        </w:rPr>
        <w:t>2、货款一律以人民币结算。</w:t>
      </w:r>
    </w:p>
    <w:p>
      <w:pPr>
        <w:spacing w:line="400" w:lineRule="exact"/>
        <w:ind w:firstLine="480" w:firstLineChars="200"/>
        <w:rPr>
          <w:sz w:val="24"/>
        </w:rPr>
      </w:pPr>
      <w:r>
        <w:rPr>
          <w:rFonts w:hint="eastAsia"/>
          <w:sz w:val="24"/>
        </w:rPr>
        <w:t>3、付款方式：货到付款，以银行电汇进行结算。</w:t>
      </w:r>
    </w:p>
    <w:p>
      <w:pPr>
        <w:spacing w:line="400" w:lineRule="exact"/>
        <w:ind w:firstLine="480" w:firstLineChars="200"/>
        <w:rPr>
          <w:rFonts w:hint="eastAsia"/>
          <w:sz w:val="24"/>
        </w:rPr>
      </w:pPr>
      <w:r>
        <w:rPr>
          <w:rFonts w:hint="eastAsia"/>
          <w:sz w:val="24"/>
        </w:rPr>
        <w:t>4、货款须在产品验收合格后，并经相关审批手续后方可进行结算，账期为15个工作日。</w:t>
      </w:r>
    </w:p>
    <w:p>
      <w:pPr>
        <w:spacing w:line="341" w:lineRule="auto"/>
        <w:ind w:firstLine="482" w:firstLineChars="200"/>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七</w:t>
      </w:r>
      <w:r>
        <w:rPr>
          <w:rFonts w:hint="default" w:ascii="宋体" w:hAnsi="宋体" w:eastAsia="宋体" w:cs="Times New Roman"/>
          <w:b/>
          <w:bCs w:val="0"/>
          <w:color w:val="auto"/>
          <w:kern w:val="2"/>
          <w:sz w:val="24"/>
          <w:szCs w:val="24"/>
          <w:highlight w:val="none"/>
          <w:lang w:val="en-US" w:eastAsia="zh-Hans" w:bidi="ar-SA"/>
        </w:rPr>
        <w:t>、</w:t>
      </w:r>
      <w:r>
        <w:rPr>
          <w:rFonts w:hint="eastAsia" w:ascii="宋体" w:hAnsi="宋体" w:eastAsia="宋体" w:cs="Times New Roman"/>
          <w:b/>
          <w:bCs w:val="0"/>
          <w:color w:val="auto"/>
          <w:kern w:val="2"/>
          <w:sz w:val="24"/>
          <w:szCs w:val="24"/>
          <w:highlight w:val="none"/>
          <w:lang w:val="en-US" w:eastAsia="zh-CN" w:bidi="ar-SA"/>
        </w:rPr>
        <w:t>中小企业声明函中所属行业：</w:t>
      </w:r>
      <w:r>
        <w:rPr>
          <w:rFonts w:hint="eastAsia" w:ascii="宋体" w:hAnsi="宋体" w:eastAsia="宋体" w:cs="Times New Roman"/>
          <w:b/>
          <w:bCs w:val="0"/>
          <w:color w:val="auto"/>
          <w:kern w:val="2"/>
          <w:sz w:val="24"/>
          <w:szCs w:val="24"/>
          <w:highlight w:val="none"/>
          <w:lang w:val="en-US" w:eastAsia="zh-Hans" w:bidi="ar-SA"/>
        </w:rPr>
        <w:t>批发业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MDZiMmQ0MGY3YmIzMzI2YzI2Y2MzODBiYTU3OTkifQ=="/>
  </w:docVars>
  <w:rsids>
    <w:rsidRoot w:val="00000000"/>
    <w:rsid w:val="49D2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outlineLvl w:val="1"/>
    </w:pPr>
    <w:rPr>
      <w:rFonts w:ascii="Arial" w:hAnsi="Arial" w:eastAsia="黑体"/>
      <w:bCs/>
      <w:sz w:val="28"/>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line="360" w:lineRule="atLeast"/>
      <w:jc w:val="center"/>
      <w:textAlignment w:val="baseline"/>
    </w:pPr>
    <w:rPr>
      <w:kern w:val="0"/>
      <w:sz w:val="24"/>
      <w:szCs w:val="20"/>
    </w:rPr>
  </w:style>
  <w:style w:type="paragraph" w:customStyle="1" w:styleId="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2022-11-23T02:33:35Z</dcterms:created>
  <dc:creator>002</dc:creator>
  <cp:lastModifiedBy>002</cp:lastModifiedBy>
  <dcterms:modified xsi:type="dcterms:W3CDTF">2022-11-23T02:34:06Z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71F731EC391141EF9C8255EA56F9CFCD</vt:lpwstr>
  </property>
</Properties>
</file>