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方正书宋简体" w:hAnsi="宋体" w:eastAsia="方正书宋简体"/>
          <w:b/>
          <w:szCs w:val="21"/>
        </w:rPr>
      </w:pPr>
      <w:r>
        <w:rPr>
          <w:rFonts w:ascii="方正书宋简体" w:hAnsi="宋体" w:eastAsia="方正书宋简体"/>
          <w:b/>
          <w:szCs w:val="21"/>
        </w:rPr>
        <w:t>采购</w:t>
      </w:r>
      <w:r>
        <w:rPr>
          <w:rFonts w:hint="eastAsia" w:ascii="方正书宋简体" w:hAnsi="宋体" w:eastAsia="方正书宋简体"/>
          <w:b/>
          <w:szCs w:val="21"/>
        </w:rPr>
        <w:t>需求</w:t>
      </w:r>
      <w:r>
        <w:rPr>
          <w:rFonts w:ascii="方正书宋简体" w:hAnsi="宋体" w:eastAsia="方正书宋简体"/>
          <w:b/>
          <w:szCs w:val="21"/>
        </w:rPr>
        <w:t>（</w:t>
      </w:r>
      <w:r>
        <w:rPr>
          <w:rFonts w:hint="eastAsia" w:ascii="方正书宋简体" w:hAnsi="宋体" w:eastAsia="方正书宋简体"/>
          <w:b/>
          <w:szCs w:val="21"/>
        </w:rPr>
        <w:t>含技术参数，</w:t>
      </w:r>
      <w:r>
        <w:rPr>
          <w:rFonts w:ascii="方正书宋简体" w:hAnsi="宋体" w:eastAsia="方正书宋简体"/>
          <w:b/>
          <w:szCs w:val="21"/>
        </w:rPr>
        <w:t>物资</w:t>
      </w:r>
      <w:r>
        <w:rPr>
          <w:rFonts w:hint="eastAsia" w:ascii="方正书宋简体" w:hAnsi="宋体" w:eastAsia="方正书宋简体"/>
          <w:b/>
          <w:szCs w:val="21"/>
        </w:rPr>
        <w:t>明细</w:t>
      </w:r>
      <w:r>
        <w:rPr>
          <w:rFonts w:ascii="方正书宋简体" w:hAnsi="宋体" w:eastAsia="方正书宋简体"/>
          <w:b/>
          <w:szCs w:val="21"/>
        </w:rPr>
        <w:t>等</w:t>
      </w:r>
      <w:r>
        <w:rPr>
          <w:rFonts w:hint="eastAsia" w:ascii="方正书宋简体" w:hAnsi="宋体" w:eastAsia="方正书宋简体"/>
          <w:b/>
          <w:szCs w:val="21"/>
        </w:rPr>
        <w:t>)</w:t>
      </w:r>
      <w:r>
        <w:rPr>
          <w:rFonts w:ascii="方正书宋简体" w:hAnsi="宋体" w:eastAsia="方正书宋简体"/>
          <w:b/>
          <w:szCs w:val="21"/>
        </w:rPr>
        <w:t xml:space="preserve"> </w:t>
      </w:r>
    </w:p>
    <w:p>
      <w:pPr>
        <w:spacing w:line="480" w:lineRule="exact"/>
        <w:ind w:firstLine="442" w:firstLineChars="200"/>
        <w:rPr>
          <w:rFonts w:hint="eastAsia" w:ascii="方正书宋简体" w:hAnsi="宋体" w:eastAsia="方正书宋简体"/>
          <w:b/>
          <w:sz w:val="22"/>
          <w:szCs w:val="22"/>
          <w:lang w:val="en-US"/>
        </w:rPr>
      </w:pPr>
      <w:r>
        <w:rPr>
          <w:rFonts w:hint="eastAsia" w:ascii="方正书宋简体" w:hAnsi="宋体" w:eastAsia="方正书宋简体"/>
          <w:b/>
          <w:sz w:val="22"/>
          <w:szCs w:val="22"/>
          <w:lang w:val="en-US"/>
        </w:rPr>
        <w:t>按照</w:t>
      </w:r>
      <w:r>
        <w:rPr>
          <w:rFonts w:hint="eastAsia" w:ascii="方正书宋简体" w:hAnsi="宋体" w:eastAsia="方正书宋简体"/>
          <w:b/>
          <w:sz w:val="22"/>
          <w:szCs w:val="22"/>
          <w:lang w:val="en-US" w:eastAsia="zh-CN"/>
        </w:rPr>
        <w:t>快采</w:t>
      </w:r>
      <w:r>
        <w:rPr>
          <w:rFonts w:hint="eastAsia" w:ascii="方正书宋简体" w:hAnsi="宋体" w:eastAsia="方正书宋简体"/>
          <w:b/>
          <w:sz w:val="22"/>
          <w:szCs w:val="22"/>
          <w:lang w:val="en-US"/>
        </w:rPr>
        <w:t>文件要求将本项目所采购货物样品投标截止前递交到</w:t>
      </w:r>
      <w:r>
        <w:rPr>
          <w:rFonts w:hint="eastAsia" w:ascii="方正书宋简体" w:hAnsi="宋体" w:eastAsia="方正书宋简体"/>
          <w:b/>
          <w:sz w:val="22"/>
          <w:szCs w:val="22"/>
          <w:lang w:val="en-US" w:eastAsia="zh-CN"/>
        </w:rPr>
        <w:t>代理机构</w:t>
      </w:r>
      <w:r>
        <w:rPr>
          <w:rFonts w:hint="eastAsia" w:ascii="方正书宋简体" w:hAnsi="宋体" w:eastAsia="方正书宋简体"/>
          <w:b/>
          <w:sz w:val="22"/>
          <w:szCs w:val="22"/>
          <w:lang w:val="en-US"/>
        </w:rPr>
        <w:t>，供应商递交的样品必须完好，表面不允许有可辨识供应商的任何标识，评标委员会将对样品进行暗标评审。</w:t>
      </w:r>
    </w:p>
    <w:p>
      <w:pPr>
        <w:spacing w:line="480" w:lineRule="exact"/>
        <w:rPr>
          <w:rFonts w:hint="default" w:ascii="宋体" w:hAnsi="宋体" w:cs="宋体"/>
          <w:sz w:val="28"/>
          <w:szCs w:val="21"/>
          <w:lang w:val="en-US"/>
        </w:rPr>
      </w:pPr>
      <w:r>
        <w:rPr>
          <w:rFonts w:hint="eastAsia" w:ascii="方正书宋简体" w:hAnsi="宋体" w:eastAsia="方正书宋简体"/>
          <w:b/>
          <w:sz w:val="22"/>
          <w:szCs w:val="22"/>
          <w:lang w:eastAsia="zh-CN"/>
        </w:rPr>
        <w:t>样品递交地址：哈尔滨市道里区钢铁街</w:t>
      </w:r>
      <w:r>
        <w:rPr>
          <w:rFonts w:hint="eastAsia" w:ascii="方正书宋简体" w:hAnsi="宋体" w:eastAsia="方正书宋简体"/>
          <w:b/>
          <w:sz w:val="22"/>
          <w:szCs w:val="22"/>
          <w:lang w:val="en-US" w:eastAsia="zh-CN"/>
        </w:rPr>
        <w:t>115号，未递交样品报价将被否决。</w:t>
      </w:r>
    </w:p>
    <w:p>
      <w:pPr>
        <w:spacing w:line="432" w:lineRule="auto"/>
        <w:jc w:val="center"/>
        <w:rPr>
          <w:rFonts w:hint="eastAsia" w:ascii="宋体" w:hAnsi="宋体" w:cs="宋体"/>
          <w:sz w:val="24"/>
        </w:rPr>
      </w:pPr>
    </w:p>
    <w:p>
      <w:pPr>
        <w:spacing w:line="432" w:lineRule="auto"/>
        <w:jc w:val="center"/>
        <w:rPr>
          <w:rFonts w:hint="eastAsia" w:ascii="黑体" w:eastAsia="黑体"/>
          <w:sz w:val="44"/>
        </w:rPr>
      </w:pPr>
      <w:r>
        <w:rPr>
          <w:rFonts w:hint="eastAsia" w:ascii="宋体" w:hAnsi="宋体" w:cs="宋体"/>
          <w:sz w:val="24"/>
        </w:rPr>
        <w:t>11公寓空调电源安装工程主要材料</w:t>
      </w:r>
    </w:p>
    <w:tbl>
      <w:tblPr>
        <w:tblStyle w:val="1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2306"/>
        <w:gridCol w:w="876"/>
        <w:gridCol w:w="876"/>
        <w:gridCol w:w="1206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1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单价限价（元）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数量（米）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总价限价（元）</w:t>
            </w:r>
          </w:p>
        </w:tc>
        <w:tc>
          <w:tcPr>
            <w:tcW w:w="114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电力电缆0.6/1KV（纯国标、全项保检测）不低于金桥、津达、远东等同等质量标准</w:t>
            </w:r>
          </w:p>
        </w:tc>
        <w:tc>
          <w:tcPr>
            <w:tcW w:w="11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WDZB-YJV-3*4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10.17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8930.1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90819.12 </w:t>
            </w:r>
          </w:p>
        </w:tc>
        <w:tc>
          <w:tcPr>
            <w:tcW w:w="114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聚乙烯绝缘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聚氯乙烯护套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低烟无卤B类阻燃电力电缆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3芯4平方毫米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WDZB-YJV-4*25+1*16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74.52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2682.72 </w:t>
            </w:r>
          </w:p>
        </w:tc>
        <w:tc>
          <w:tcPr>
            <w:tcW w:w="114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聚乙烯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绝缘聚氯乙烯护套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低烟无卤B类阻燃电力电缆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4芯25平方毫米加1芯16平方毫米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WDZB-YJV-4*35+1*16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97.81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440.15 </w:t>
            </w:r>
          </w:p>
        </w:tc>
        <w:tc>
          <w:tcPr>
            <w:tcW w:w="114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聚乙烯绝缘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低烟无卤B类阻燃电力电缆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4芯35平方毫米加1芯16平方毫米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WDZB-YJV-4*70+1*35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189.75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343.7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65217.08 </w:t>
            </w:r>
          </w:p>
        </w:tc>
        <w:tc>
          <w:tcPr>
            <w:tcW w:w="114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聚乙烯绝缘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聚氯乙烯护套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低烟无卤B类阻燃电力电缆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4芯70平方毫米加1芯35平方毫米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WDZB-YJV-4*185+1*95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496.89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371.5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184594.64 </w:t>
            </w:r>
          </w:p>
        </w:tc>
        <w:tc>
          <w:tcPr>
            <w:tcW w:w="114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聚乙烯绝缘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聚氯乙烯护套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低烟无卤B类阻燃电力电缆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4芯185平方毫米加1芯95平方毫米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YJLV22-4*185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59.79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655.2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39174.41 </w:t>
            </w:r>
          </w:p>
        </w:tc>
        <w:tc>
          <w:tcPr>
            <w:tcW w:w="114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铝芯交联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聚乙烯绝缘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聚氯乙烯护套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钢带铠装电力电缆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4芯185平方毫米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主材合计</w:t>
            </w:r>
          </w:p>
        </w:tc>
        <w:tc>
          <w:tcPr>
            <w:tcW w:w="119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382928.10 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5000" w:type="pct"/>
            <w:gridSpan w:val="6"/>
            <w:shd w:val="clear" w:color="auto" w:fill="auto"/>
            <w:vAlign w:val="center"/>
          </w:tcPr>
          <w:p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1.需要提供足米数电缆，米标不作为衡量米数依据。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2.电缆质保期按照国家规定标准执行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3.中标公示结束后3日内供货，5日内全部供货完毕。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4.付款方式：货到验收合格后付对应货物价款的90%，如无质量问题半年后结算尾款。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5.此次报价含税含运费</w:t>
            </w:r>
          </w:p>
        </w:tc>
      </w:tr>
    </w:tbl>
    <w:p>
      <w:pPr>
        <w:spacing w:line="360" w:lineRule="auto"/>
        <w:jc w:val="both"/>
        <w:rPr>
          <w:rFonts w:hint="eastAsia" w:ascii="微软雅黑" w:hAnsi="微软雅黑" w:eastAsia="微软雅黑" w:cs="微软雅黑"/>
          <w:color w:val="FF0000"/>
          <w:sz w:val="36"/>
          <w:szCs w:val="4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36"/>
          <w:szCs w:val="44"/>
          <w:highlight w:val="none"/>
          <w:lang w:val="en-US" w:eastAsia="zh-CN"/>
        </w:rPr>
        <w:t>注：供应商报价每项材料单价不能超过预算。</w:t>
      </w:r>
      <w:bookmarkStart w:id="0" w:name="_GoBack"/>
      <w:bookmarkEnd w:id="0"/>
    </w:p>
    <w:p>
      <w:pPr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br w:type="page"/>
      </w:r>
    </w:p>
    <w:p>
      <w:pPr>
        <w:spacing w:line="432" w:lineRule="auto"/>
        <w:jc w:val="center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15公寓空调电源安装工程材料</w:t>
      </w:r>
    </w:p>
    <w:tbl>
      <w:tblPr>
        <w:tblStyle w:val="13"/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2416"/>
        <w:gridCol w:w="876"/>
        <w:gridCol w:w="876"/>
        <w:gridCol w:w="1206"/>
        <w:gridCol w:w="18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单价限价（元）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数量（米）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总价限价（元）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电力电缆0.6/1KV（纯国标、全项保检测）不低于金桥、津达、远东等同等质量标准</w:t>
            </w:r>
          </w:p>
        </w:tc>
        <w:tc>
          <w:tcPr>
            <w:tcW w:w="1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WDZB-YJV-3*4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10.17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1168.53 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聚乙烯绝缘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聚氯乙烯护套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低烟无卤B类阻燃电力电缆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3芯4平方毫米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WDZB-YJV-5*6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22.57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1909.42 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聚乙烯绝缘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聚氯乙烯护套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低烟无卤B类阻燃电力电缆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，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5芯6平方毫米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WDZB-YJV-5*16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52.56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469.7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24687.432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聚乙烯绝缘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聚氯乙烯护套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低烟无卤B类阻燃电力电缆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，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5芯16平方毫米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9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WDZB-YJV-4*25+1*16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65205.00 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聚乙烯绝缘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聚氯乙烯护套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低烟无卤B类阻燃电力电缆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4芯25平方毫米加1芯16平方毫米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WDZB-YJV-4*95+1*50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254.51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111475.38 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聚乙烯绝缘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聚氯乙烯护套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低烟无卤B类阻燃电力电缆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4芯95平方毫米加1芯50平方毫米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WDZB-YJV-4*120+1*70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332.96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48.9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16281.74 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聚乙烯绝缘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聚氯乙烯护套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低烟无卤B类阻燃电力电缆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4芯120平方毫米加1芯70平方毫米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WDZB-YJV-4*185+1*95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496.89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212.6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105638.81 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聚乙烯绝缘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聚氯乙烯护套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低烟无卤B类阻燃电力电缆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4芯185平方毫米加1芯95平方毫米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WDZB-YJV-4*240+1*120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648.16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29361.65 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聚乙烯绝缘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聚氯乙烯护套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低烟无卤B类阻燃电力电缆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4芯240平方毫米加1芯120平方毫米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主材合计</w:t>
            </w:r>
          </w:p>
        </w:tc>
        <w:tc>
          <w:tcPr>
            <w:tcW w:w="1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355727.97 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1.需要提供足米数电缆，米标不作为衡量米数依据。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2.电缆质保期按照国家规定标准执行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3.中标公示结束后3日内供货，5日内全部供货完毕。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4.付款方式：货到验收合格后付对应货物价款的90%，如无质量问题半年后结算尾款。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5此次报价含税含运费</w:t>
            </w:r>
          </w:p>
        </w:tc>
      </w:tr>
    </w:tbl>
    <w:p>
      <w:pPr>
        <w:spacing w:line="360" w:lineRule="auto"/>
        <w:jc w:val="both"/>
        <w:rPr>
          <w:rFonts w:hint="eastAsia" w:ascii="黑体" w:eastAsia="黑体"/>
          <w:sz w:val="44"/>
        </w:rPr>
      </w:pPr>
      <w:r>
        <w:rPr>
          <w:rFonts w:hint="eastAsia" w:ascii="微软雅黑" w:hAnsi="微软雅黑" w:eastAsia="微软雅黑" w:cs="微软雅黑"/>
          <w:color w:val="FF0000"/>
          <w:sz w:val="36"/>
          <w:szCs w:val="44"/>
          <w:highlight w:val="none"/>
          <w:lang w:val="en-US" w:eastAsia="zh-CN"/>
        </w:rPr>
        <w:t>注：供应商报价每项材料单价不能超过预算。</w:t>
      </w:r>
    </w:p>
    <w:p>
      <w:pPr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23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numPr>
        <w:ilvl w:val="0"/>
        <w:numId w:val="0"/>
      </w:numPr>
      <w:pBdr>
        <w:bottom w:val="single" w:color="auto" w:sz="4" w:space="1"/>
      </w:pBdr>
      <w:tabs>
        <w:tab w:val="clear" w:pos="1200"/>
      </w:tabs>
      <w:ind w:leftChars="0" w:firstLine="420" w:firstLineChars="200"/>
      <w:jc w:val="both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CC7861"/>
    <w:multiLevelType w:val="singleLevel"/>
    <w:tmpl w:val="92CC7861"/>
    <w:lvl w:ilvl="0" w:tentative="0">
      <w:start w:val="1"/>
      <w:numFmt w:val="bullet"/>
      <w:pStyle w:val="7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MWVlODkxNmYwNTgzOWY4MjUxNmU4ZTAxZWI1M2IifQ=="/>
  </w:docVars>
  <w:rsids>
    <w:rsidRoot w:val="00000000"/>
    <w:rsid w:val="10C94901"/>
    <w:rsid w:val="16824929"/>
    <w:rsid w:val="1D5C4168"/>
    <w:rsid w:val="265B2C23"/>
    <w:rsid w:val="2E7D77F5"/>
    <w:rsid w:val="30C33582"/>
    <w:rsid w:val="461E51EB"/>
    <w:rsid w:val="4B8D41EB"/>
    <w:rsid w:val="577B69BD"/>
    <w:rsid w:val="5BC87CF7"/>
    <w:rsid w:val="68EE356D"/>
    <w:rsid w:val="69DA3A17"/>
    <w:rsid w:val="6B56437F"/>
    <w:rsid w:val="6F481423"/>
    <w:rsid w:val="7A36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40" w:after="240"/>
      <w:ind w:left="100" w:leftChars="100" w:right="100" w:rightChars="100"/>
      <w:jc w:val="center"/>
      <w:outlineLvl w:val="0"/>
    </w:pPr>
    <w:rPr>
      <w:rFonts w:eastAsia="黑体"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outlineLvl w:val="1"/>
    </w:pPr>
    <w:rPr>
      <w:rFonts w:ascii="Arial" w:hAnsi="Arial" w:eastAsia="黑体"/>
      <w:bCs/>
      <w:sz w:val="28"/>
      <w:szCs w:val="32"/>
    </w:rPr>
  </w:style>
  <w:style w:type="paragraph" w:styleId="5">
    <w:name w:val="heading 3"/>
    <w:basedOn w:val="1"/>
    <w:next w:val="1"/>
    <w:link w:val="16"/>
    <w:qFormat/>
    <w:uiPriority w:val="0"/>
    <w:pPr>
      <w:tabs>
        <w:tab w:val="left" w:pos="851"/>
      </w:tabs>
      <w:autoSpaceDE w:val="0"/>
      <w:autoSpaceDN w:val="0"/>
      <w:adjustRightInd w:val="0"/>
      <w:snapToGrid w:val="0"/>
      <w:spacing w:line="360" w:lineRule="auto"/>
      <w:outlineLvl w:val="2"/>
    </w:pPr>
    <w:rPr>
      <w:rFonts w:ascii="宋体"/>
      <w:kern w:val="0"/>
      <w:szCs w:val="20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List Bullet 3"/>
    <w:basedOn w:val="1"/>
    <w:qFormat/>
    <w:uiPriority w:val="0"/>
    <w:pPr>
      <w:numPr>
        <w:ilvl w:val="0"/>
        <w:numId w:val="1"/>
      </w:numPr>
    </w:pPr>
  </w:style>
  <w:style w:type="paragraph" w:styleId="8">
    <w:name w:val="Body Text"/>
    <w:basedOn w:val="1"/>
    <w:next w:val="1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9">
    <w:name w:val="toc 3"/>
    <w:basedOn w:val="1"/>
    <w:next w:val="1"/>
    <w:qFormat/>
    <w:uiPriority w:val="0"/>
    <w:pPr>
      <w:ind w:left="840" w:leftChars="4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toc 1"/>
    <w:basedOn w:val="1"/>
    <w:next w:val="1"/>
    <w:qFormat/>
    <w:uiPriority w:val="39"/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character" w:styleId="15">
    <w:name w:val="Hyperlink"/>
    <w:qFormat/>
    <w:uiPriority w:val="99"/>
    <w:rPr>
      <w:color w:val="0000FF"/>
      <w:u w:val="single"/>
    </w:rPr>
  </w:style>
  <w:style w:type="character" w:customStyle="1" w:styleId="16">
    <w:name w:val="标题 3 字符"/>
    <w:link w:val="5"/>
    <w:qFormat/>
    <w:uiPriority w:val="0"/>
    <w:rPr>
      <w:rFonts w:ascii="宋体"/>
      <w:kern w:val="0"/>
      <w:szCs w:val="20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1172</Words>
  <Characters>1661</Characters>
  <Lines>0</Lines>
  <Paragraphs>0</Paragraphs>
  <TotalTime>0</TotalTime>
  <ScaleCrop>false</ScaleCrop>
  <LinksUpToDate>false</LinksUpToDate>
  <CharactersWithSpaces>1715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Administrator.PCOS-1807131022</dc:creator>
  <cp:lastModifiedBy>高绮珊</cp:lastModifiedBy>
  <dcterms:modified xsi:type="dcterms:W3CDTF">2023-05-12T07:35:37Z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6A9DA9FA0353425391414B0F87643A7D</vt:lpwstr>
  </property>
</Properties>
</file>